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3C19" w14:textId="5C9282BA" w:rsidR="003E3AD4" w:rsidRPr="00511122" w:rsidRDefault="008D5979" w:rsidP="00712A1B">
      <w:pPr>
        <w:pStyle w:val="Header"/>
        <w:tabs>
          <w:tab w:val="clear" w:pos="4536"/>
          <w:tab w:val="clear" w:pos="9072"/>
          <w:tab w:val="right" w:pos="8505"/>
        </w:tabs>
        <w:spacing w:line="240" w:lineRule="exact"/>
        <w:ind w:right="-1"/>
        <w:jc w:val="both"/>
        <w:rPr>
          <w:rFonts w:ascii="Arial" w:hAnsi="Arial" w:cs="Arial"/>
          <w:sz w:val="22"/>
          <w:szCs w:val="22"/>
        </w:rPr>
      </w:pPr>
      <w:r w:rsidRPr="0091626D">
        <w:rPr>
          <w:rFonts w:ascii="Arial" w:hAnsi="Arial" w:cs="Arial"/>
          <w:sz w:val="22"/>
          <w:szCs w:val="22"/>
        </w:rPr>
        <w:tab/>
      </w:r>
      <w:r w:rsidR="00AC4E70">
        <w:rPr>
          <w:rFonts w:ascii="Arial" w:hAnsi="Arial" w:cs="Arial"/>
          <w:sz w:val="22"/>
          <w:szCs w:val="22"/>
        </w:rPr>
        <w:t>26</w:t>
      </w:r>
      <w:r w:rsidR="002452E2">
        <w:rPr>
          <w:rFonts w:ascii="Arial" w:hAnsi="Arial" w:cs="Arial"/>
          <w:sz w:val="22"/>
          <w:szCs w:val="22"/>
        </w:rPr>
        <w:t>.</w:t>
      </w:r>
      <w:r w:rsidR="00D459FA" w:rsidRPr="00511122">
        <w:rPr>
          <w:rFonts w:ascii="Arial" w:hAnsi="Arial" w:cs="Arial"/>
          <w:sz w:val="22"/>
          <w:szCs w:val="22"/>
        </w:rPr>
        <w:t xml:space="preserve"> </w:t>
      </w:r>
      <w:r w:rsidR="002452E2">
        <w:rPr>
          <w:rFonts w:ascii="Arial" w:hAnsi="Arial" w:cs="Arial"/>
          <w:sz w:val="22"/>
          <w:szCs w:val="22"/>
        </w:rPr>
        <w:t>novembar</w:t>
      </w:r>
      <w:r w:rsidR="00DC4CC2" w:rsidRPr="00511122">
        <w:rPr>
          <w:rFonts w:ascii="Arial" w:hAnsi="Arial" w:cs="Arial"/>
          <w:sz w:val="22"/>
          <w:szCs w:val="22"/>
        </w:rPr>
        <w:t xml:space="preserve"> 2021</w:t>
      </w:r>
      <w:r w:rsidR="002452E2">
        <w:rPr>
          <w:rFonts w:ascii="Arial" w:hAnsi="Arial" w:cs="Arial"/>
          <w:sz w:val="22"/>
          <w:szCs w:val="22"/>
        </w:rPr>
        <w:t>.</w:t>
      </w:r>
    </w:p>
    <w:p w14:paraId="6E6204E6" w14:textId="77777777" w:rsidR="003E3AD4" w:rsidRPr="00511122" w:rsidRDefault="003E3AD4" w:rsidP="00DE7E7D">
      <w:pPr>
        <w:pStyle w:val="Header"/>
        <w:tabs>
          <w:tab w:val="clear" w:pos="4536"/>
          <w:tab w:val="clear" w:pos="9072"/>
          <w:tab w:val="left" w:pos="960"/>
        </w:tabs>
        <w:spacing w:after="20" w:line="280" w:lineRule="exact"/>
        <w:ind w:right="-1"/>
        <w:jc w:val="both"/>
        <w:rPr>
          <w:rFonts w:ascii="Arial" w:hAnsi="Arial" w:cs="Arial"/>
          <w:sz w:val="22"/>
          <w:szCs w:val="22"/>
        </w:rPr>
      </w:pPr>
    </w:p>
    <w:p w14:paraId="4162E490" w14:textId="77777777" w:rsidR="00386C40" w:rsidRPr="00511122" w:rsidRDefault="00386C40" w:rsidP="00DE7E7D">
      <w:pPr>
        <w:pStyle w:val="Header"/>
        <w:tabs>
          <w:tab w:val="clear" w:pos="4536"/>
          <w:tab w:val="clear" w:pos="9072"/>
          <w:tab w:val="left" w:pos="960"/>
        </w:tabs>
        <w:spacing w:after="20" w:line="280" w:lineRule="exact"/>
        <w:ind w:right="-1"/>
        <w:jc w:val="both"/>
        <w:rPr>
          <w:rFonts w:ascii="Arial" w:hAnsi="Arial" w:cs="Arial"/>
          <w:sz w:val="22"/>
          <w:szCs w:val="22"/>
        </w:rPr>
      </w:pPr>
    </w:p>
    <w:p w14:paraId="09E74FA4" w14:textId="266C488D" w:rsidR="003B3CB4" w:rsidRPr="00511122" w:rsidRDefault="00DC4CC2" w:rsidP="00413146">
      <w:pPr>
        <w:pStyle w:val="Header"/>
        <w:tabs>
          <w:tab w:val="clear" w:pos="4536"/>
          <w:tab w:val="clear" w:pos="9072"/>
        </w:tabs>
        <w:spacing w:after="20" w:line="280" w:lineRule="exact"/>
        <w:ind w:right="-1"/>
        <w:jc w:val="both"/>
        <w:rPr>
          <w:rFonts w:ascii="Arial" w:hAnsi="Arial" w:cs="Arial"/>
          <w:b/>
          <w:smallCaps/>
          <w:sz w:val="30"/>
          <w:szCs w:val="30"/>
        </w:rPr>
      </w:pPr>
      <w:r w:rsidRPr="00511122">
        <w:rPr>
          <w:rFonts w:ascii="Arial" w:hAnsi="Arial" w:cs="Arial"/>
          <w:b/>
          <w:smallCaps/>
          <w:sz w:val="30"/>
          <w:szCs w:val="30"/>
        </w:rPr>
        <w:t>de</w:t>
      </w:r>
      <w:r w:rsidR="002452E2">
        <w:rPr>
          <w:rFonts w:ascii="Arial" w:hAnsi="Arial" w:cs="Arial"/>
          <w:b/>
          <w:smallCaps/>
          <w:sz w:val="30"/>
          <w:szCs w:val="30"/>
        </w:rPr>
        <w:t>klaracija saveta predsednika</w:t>
      </w:r>
      <w:r w:rsidRPr="00511122">
        <w:rPr>
          <w:rFonts w:ascii="Arial" w:hAnsi="Arial" w:cs="Arial"/>
          <w:b/>
          <w:smallCaps/>
          <w:sz w:val="30"/>
          <w:szCs w:val="30"/>
        </w:rPr>
        <w:t xml:space="preserve"> </w:t>
      </w:r>
      <w:r w:rsidR="009B33EC" w:rsidRPr="00511122">
        <w:rPr>
          <w:rFonts w:ascii="Arial" w:hAnsi="Arial" w:cs="Arial"/>
          <w:b/>
          <w:smallCaps/>
          <w:sz w:val="30"/>
          <w:szCs w:val="30"/>
        </w:rPr>
        <w:t>BusinessEurope</w:t>
      </w:r>
      <w:r w:rsidR="002452E2">
        <w:rPr>
          <w:rFonts w:ascii="Arial" w:hAnsi="Arial" w:cs="Arial"/>
          <w:b/>
          <w:smallCaps/>
          <w:sz w:val="30"/>
          <w:szCs w:val="30"/>
        </w:rPr>
        <w:t>-a</w:t>
      </w:r>
    </w:p>
    <w:p w14:paraId="09E70C91" w14:textId="77777777" w:rsidR="004D0612" w:rsidRPr="00511122" w:rsidRDefault="004D0612" w:rsidP="00413146">
      <w:pPr>
        <w:pStyle w:val="Header"/>
        <w:tabs>
          <w:tab w:val="clear" w:pos="4536"/>
          <w:tab w:val="clear" w:pos="9072"/>
        </w:tabs>
        <w:spacing w:line="240" w:lineRule="exact"/>
        <w:ind w:right="-1"/>
        <w:jc w:val="both"/>
        <w:rPr>
          <w:rFonts w:ascii="Arial" w:hAnsi="Arial" w:cs="Arial"/>
          <w:b/>
          <w:szCs w:val="24"/>
        </w:rPr>
      </w:pPr>
    </w:p>
    <w:p w14:paraId="252BEC82" w14:textId="5E1B0139" w:rsidR="00543AD9" w:rsidRPr="00543AD9" w:rsidRDefault="00543AD9" w:rsidP="00543AD9">
      <w:pPr>
        <w:pStyle w:val="Header"/>
        <w:spacing w:line="240" w:lineRule="exact"/>
        <w:ind w:right="-1"/>
        <w:jc w:val="both"/>
        <w:rPr>
          <w:rFonts w:ascii="Arial" w:hAnsi="Arial" w:cs="Arial"/>
          <w:i/>
          <w:iCs/>
          <w:sz w:val="22"/>
          <w:szCs w:val="22"/>
        </w:rPr>
      </w:pPr>
      <w:r w:rsidRPr="00543AD9">
        <w:rPr>
          <w:rFonts w:ascii="Arial" w:hAnsi="Arial" w:cs="Arial"/>
          <w:i/>
          <w:iCs/>
          <w:sz w:val="22"/>
          <w:szCs w:val="22"/>
        </w:rPr>
        <w:t>Pet nedelja uoči početka francuskog predsedavanja Evropskom unijom, Savet predsednika BusinessEurope</w:t>
      </w:r>
      <w:r>
        <w:rPr>
          <w:rFonts w:ascii="Arial" w:hAnsi="Arial" w:cs="Arial"/>
          <w:i/>
          <w:iCs/>
          <w:sz w:val="22"/>
          <w:szCs w:val="22"/>
        </w:rPr>
        <w:t>-a</w:t>
      </w:r>
      <w:r w:rsidRPr="00543AD9">
        <w:rPr>
          <w:rFonts w:ascii="Arial" w:hAnsi="Arial" w:cs="Arial"/>
          <w:i/>
          <w:iCs/>
          <w:sz w:val="22"/>
          <w:szCs w:val="22"/>
        </w:rPr>
        <w:t xml:space="preserve"> okupio se u Parizu na poziv MEDEF-a. Predsednici 40 federacija članica BusinessEurope</w:t>
      </w:r>
      <w:r>
        <w:rPr>
          <w:rFonts w:ascii="Arial" w:hAnsi="Arial" w:cs="Arial"/>
          <w:i/>
          <w:iCs/>
          <w:sz w:val="22"/>
          <w:szCs w:val="22"/>
        </w:rPr>
        <w:t>-a su se</w:t>
      </w:r>
      <w:r w:rsidRPr="00543AD9">
        <w:rPr>
          <w:rFonts w:ascii="Arial" w:hAnsi="Arial" w:cs="Arial"/>
          <w:i/>
          <w:iCs/>
          <w:sz w:val="22"/>
          <w:szCs w:val="22"/>
        </w:rPr>
        <w:t xml:space="preserve"> sastali sa predsednikom Makronom, kao i sa premijerom Žanom Kasteksom. Oni su ponovo potvrdili posvećenost evropskih kompanija da rade na trajnom oporavku, kao i njihovu privrženost osnovnim vrednostima EU</w:t>
      </w:r>
      <w:r>
        <w:rPr>
          <w:rFonts w:ascii="Arial" w:hAnsi="Arial" w:cs="Arial"/>
          <w:i/>
          <w:iCs/>
          <w:sz w:val="22"/>
          <w:szCs w:val="22"/>
        </w:rPr>
        <w:t>-a</w:t>
      </w:r>
      <w:r w:rsidRPr="00543AD9">
        <w:rPr>
          <w:rFonts w:ascii="Arial" w:hAnsi="Arial" w:cs="Arial"/>
          <w:i/>
          <w:iCs/>
          <w:sz w:val="22"/>
          <w:szCs w:val="22"/>
        </w:rPr>
        <w:t xml:space="preserve"> i vladavini prava. </w:t>
      </w:r>
      <w:r>
        <w:rPr>
          <w:rFonts w:ascii="Arial" w:hAnsi="Arial" w:cs="Arial"/>
          <w:i/>
          <w:iCs/>
          <w:sz w:val="22"/>
          <w:szCs w:val="22"/>
        </w:rPr>
        <w:t>Takođe su</w:t>
      </w:r>
      <w:r w:rsidRPr="00543AD9">
        <w:rPr>
          <w:rFonts w:ascii="Arial" w:hAnsi="Arial" w:cs="Arial"/>
          <w:i/>
          <w:iCs/>
          <w:sz w:val="22"/>
          <w:szCs w:val="22"/>
        </w:rPr>
        <w:t xml:space="preserve"> razgovarali o sedam pitanja od ključne važnosti za budućnost miliona malih, srednjih i velikih evropskih preduzeća koja predstavljaju. Ovih sedam pitanja biće u središtu dnevnog reda budućeg francuskog predsedavanja Evropskom unijom. Ova </w:t>
      </w:r>
      <w:r w:rsidR="004F43EB">
        <w:rPr>
          <w:rFonts w:ascii="Arial" w:hAnsi="Arial" w:cs="Arial"/>
          <w:i/>
          <w:iCs/>
          <w:sz w:val="22"/>
          <w:szCs w:val="22"/>
        </w:rPr>
        <w:t>D</w:t>
      </w:r>
      <w:r w:rsidRPr="00543AD9">
        <w:rPr>
          <w:rFonts w:ascii="Arial" w:hAnsi="Arial" w:cs="Arial"/>
          <w:i/>
          <w:iCs/>
          <w:sz w:val="22"/>
          <w:szCs w:val="22"/>
        </w:rPr>
        <w:t>eklaracija iznosi ključne poruke date budućem francuskom predsedništvu o ovih sedam pitanja</w:t>
      </w:r>
    </w:p>
    <w:p w14:paraId="28EC23DF" w14:textId="0628DBA3" w:rsidR="00A14073" w:rsidRPr="00664346" w:rsidRDefault="00A14073" w:rsidP="003F76B9">
      <w:pPr>
        <w:pStyle w:val="Header"/>
        <w:tabs>
          <w:tab w:val="clear" w:pos="4536"/>
          <w:tab w:val="clear" w:pos="9072"/>
        </w:tabs>
        <w:spacing w:line="240" w:lineRule="exact"/>
        <w:ind w:right="-1"/>
        <w:jc w:val="both"/>
        <w:rPr>
          <w:rFonts w:ascii="Arial" w:hAnsi="Arial" w:cs="Arial"/>
          <w:sz w:val="22"/>
          <w:szCs w:val="22"/>
        </w:rPr>
      </w:pPr>
    </w:p>
    <w:p w14:paraId="3517776F" w14:textId="2261FFB5" w:rsidR="007F1F2E" w:rsidRPr="00664346" w:rsidRDefault="00543AD9" w:rsidP="007F1F2E">
      <w:pPr>
        <w:pStyle w:val="Header"/>
        <w:numPr>
          <w:ilvl w:val="0"/>
          <w:numId w:val="2"/>
        </w:numPr>
        <w:tabs>
          <w:tab w:val="clear" w:pos="4536"/>
          <w:tab w:val="clear" w:pos="9072"/>
        </w:tabs>
        <w:spacing w:line="240" w:lineRule="exact"/>
        <w:ind w:right="-1"/>
        <w:jc w:val="both"/>
        <w:rPr>
          <w:rFonts w:ascii="Arial" w:hAnsi="Arial" w:cs="Arial"/>
          <w:b/>
          <w:bCs/>
          <w:sz w:val="22"/>
          <w:szCs w:val="22"/>
        </w:rPr>
      </w:pPr>
      <w:r w:rsidRPr="00543AD9">
        <w:rPr>
          <w:rFonts w:ascii="Arial" w:hAnsi="Arial" w:cs="Arial"/>
          <w:b/>
          <w:bCs/>
          <w:sz w:val="22"/>
          <w:szCs w:val="22"/>
        </w:rPr>
        <w:t xml:space="preserve">Obnavljanje privrede radi postizanja trajnog rasta i zapošljavanja </w:t>
      </w:r>
    </w:p>
    <w:p w14:paraId="66A0AFEF" w14:textId="77777777" w:rsidR="007F1F2E" w:rsidRPr="00664346" w:rsidRDefault="007F1F2E" w:rsidP="003F76B9">
      <w:pPr>
        <w:pStyle w:val="Header"/>
        <w:tabs>
          <w:tab w:val="clear" w:pos="4536"/>
          <w:tab w:val="clear" w:pos="9072"/>
        </w:tabs>
        <w:spacing w:line="240" w:lineRule="exact"/>
        <w:ind w:right="-1"/>
        <w:jc w:val="both"/>
        <w:rPr>
          <w:rFonts w:ascii="Arial" w:hAnsi="Arial" w:cs="Arial"/>
          <w:b/>
          <w:bCs/>
          <w:sz w:val="22"/>
          <w:szCs w:val="22"/>
        </w:rPr>
      </w:pPr>
    </w:p>
    <w:p w14:paraId="1FCA8962" w14:textId="05280103" w:rsidR="00065FCE" w:rsidRDefault="00065FCE" w:rsidP="00C656E3">
      <w:pPr>
        <w:pStyle w:val="Header"/>
        <w:tabs>
          <w:tab w:val="clear" w:pos="4536"/>
          <w:tab w:val="clear" w:pos="9072"/>
        </w:tabs>
        <w:spacing w:line="240" w:lineRule="exact"/>
        <w:ind w:right="-1"/>
        <w:jc w:val="both"/>
        <w:rPr>
          <w:rFonts w:ascii="Arial" w:hAnsi="Arial" w:cs="Arial"/>
          <w:sz w:val="22"/>
          <w:szCs w:val="22"/>
        </w:rPr>
      </w:pPr>
      <w:r w:rsidRPr="00065FCE">
        <w:rPr>
          <w:rFonts w:ascii="Arial" w:hAnsi="Arial" w:cs="Arial"/>
          <w:sz w:val="22"/>
          <w:szCs w:val="22"/>
        </w:rPr>
        <w:t>EU ne može biti uspešna i neće napredovati ka otvorenoj strateškoj autonomiji bez konkurentnih kompanija. U evropskoj poslovnoj zajednici raste zabrinutost zbog zakonodavnih i birokratskih zahteva koji bi ih doveli u nepovoljan položaj kada se takmiče na globalnim tržištima</w:t>
      </w:r>
      <w:r>
        <w:rPr>
          <w:rFonts w:ascii="Arial" w:hAnsi="Arial" w:cs="Arial"/>
          <w:sz w:val="22"/>
          <w:szCs w:val="22"/>
        </w:rPr>
        <w:t>.</w:t>
      </w:r>
    </w:p>
    <w:p w14:paraId="51E97B32" w14:textId="77777777" w:rsidR="00065FCE" w:rsidRDefault="00065FCE" w:rsidP="00C656E3">
      <w:pPr>
        <w:pStyle w:val="Header"/>
        <w:tabs>
          <w:tab w:val="clear" w:pos="4536"/>
          <w:tab w:val="clear" w:pos="9072"/>
        </w:tabs>
        <w:spacing w:line="240" w:lineRule="exact"/>
        <w:ind w:right="-1"/>
        <w:jc w:val="both"/>
        <w:rPr>
          <w:rFonts w:ascii="Arial" w:hAnsi="Arial" w:cs="Arial"/>
          <w:sz w:val="22"/>
          <w:szCs w:val="22"/>
        </w:rPr>
      </w:pPr>
    </w:p>
    <w:p w14:paraId="5D3C3E73" w14:textId="4E1D1F1C" w:rsidR="00944779" w:rsidRDefault="00F33A48" w:rsidP="00C656E3">
      <w:pPr>
        <w:pStyle w:val="Header"/>
        <w:tabs>
          <w:tab w:val="clear" w:pos="4536"/>
          <w:tab w:val="clear" w:pos="9072"/>
        </w:tabs>
        <w:spacing w:line="240" w:lineRule="exact"/>
        <w:ind w:right="-1"/>
        <w:jc w:val="both"/>
        <w:rPr>
          <w:rFonts w:ascii="Arial" w:hAnsi="Arial" w:cs="Arial"/>
          <w:sz w:val="22"/>
          <w:szCs w:val="22"/>
        </w:rPr>
      </w:pPr>
      <w:r w:rsidRPr="00F33A48">
        <w:rPr>
          <w:rFonts w:ascii="Arial" w:hAnsi="Arial" w:cs="Arial"/>
          <w:sz w:val="22"/>
          <w:szCs w:val="22"/>
        </w:rPr>
        <w:t>Kako EU izlazi iz pandemije COVID-a, francusko predsed</w:t>
      </w:r>
      <w:r>
        <w:rPr>
          <w:rFonts w:ascii="Arial" w:hAnsi="Arial" w:cs="Arial"/>
          <w:sz w:val="22"/>
          <w:szCs w:val="22"/>
        </w:rPr>
        <w:t>avanje</w:t>
      </w:r>
      <w:r w:rsidRPr="00F33A48">
        <w:rPr>
          <w:rFonts w:ascii="Arial" w:hAnsi="Arial" w:cs="Arial"/>
          <w:sz w:val="22"/>
          <w:szCs w:val="22"/>
        </w:rPr>
        <w:t xml:space="preserve"> mora da se usredsredi na obnavljanje ekonomije, </w:t>
      </w:r>
      <w:r>
        <w:rPr>
          <w:rFonts w:ascii="Arial" w:hAnsi="Arial" w:cs="Arial"/>
          <w:sz w:val="22"/>
          <w:szCs w:val="22"/>
        </w:rPr>
        <w:t>s</w:t>
      </w:r>
      <w:r w:rsidRPr="00F33A48">
        <w:rPr>
          <w:rFonts w:ascii="Arial" w:hAnsi="Arial" w:cs="Arial"/>
          <w:sz w:val="22"/>
          <w:szCs w:val="22"/>
        </w:rPr>
        <w:t>provođenje reformi neophodnih za poboljšanje konkurentnosti i ulaganj</w:t>
      </w:r>
      <w:r>
        <w:rPr>
          <w:rFonts w:ascii="Arial" w:hAnsi="Arial" w:cs="Arial"/>
          <w:sz w:val="22"/>
          <w:szCs w:val="22"/>
        </w:rPr>
        <w:t>e</w:t>
      </w:r>
      <w:r w:rsidRPr="00F33A48">
        <w:rPr>
          <w:rFonts w:ascii="Arial" w:hAnsi="Arial" w:cs="Arial"/>
          <w:sz w:val="22"/>
          <w:szCs w:val="22"/>
        </w:rPr>
        <w:t xml:space="preserve"> u zelenu i digitalnu tranziciju kako bi se obezbedi</w:t>
      </w:r>
      <w:r>
        <w:rPr>
          <w:rFonts w:ascii="Arial" w:hAnsi="Arial" w:cs="Arial"/>
          <w:sz w:val="22"/>
          <w:szCs w:val="22"/>
        </w:rPr>
        <w:t>li</w:t>
      </w:r>
      <w:r w:rsidRPr="00F33A48">
        <w:rPr>
          <w:rFonts w:ascii="Arial" w:hAnsi="Arial" w:cs="Arial"/>
          <w:sz w:val="22"/>
          <w:szCs w:val="22"/>
        </w:rPr>
        <w:t xml:space="preserve"> trajni rast i zapošljavanje. Posebna pažnja se mora posvetiti produbljivanju </w:t>
      </w:r>
      <w:r>
        <w:rPr>
          <w:rFonts w:ascii="Arial" w:hAnsi="Arial" w:cs="Arial"/>
          <w:sz w:val="22"/>
          <w:szCs w:val="22"/>
        </w:rPr>
        <w:t>J</w:t>
      </w:r>
      <w:r w:rsidRPr="00F33A48">
        <w:rPr>
          <w:rFonts w:ascii="Arial" w:hAnsi="Arial" w:cs="Arial"/>
          <w:sz w:val="22"/>
          <w:szCs w:val="22"/>
        </w:rPr>
        <w:t>edinstvenog tržišta i jačanju pozicije Evrope u svetu.</w:t>
      </w:r>
    </w:p>
    <w:p w14:paraId="66BE7BE0" w14:textId="77777777" w:rsidR="00F33A48" w:rsidRPr="00511122" w:rsidRDefault="00F33A48" w:rsidP="00C656E3">
      <w:pPr>
        <w:pStyle w:val="Header"/>
        <w:tabs>
          <w:tab w:val="clear" w:pos="4536"/>
          <w:tab w:val="clear" w:pos="9072"/>
        </w:tabs>
        <w:spacing w:line="240" w:lineRule="exact"/>
        <w:ind w:right="-1"/>
        <w:jc w:val="both"/>
        <w:rPr>
          <w:rFonts w:ascii="Arial" w:hAnsi="Arial" w:cs="Arial"/>
          <w:sz w:val="22"/>
          <w:szCs w:val="22"/>
        </w:rPr>
      </w:pPr>
    </w:p>
    <w:p w14:paraId="73C60727" w14:textId="4681C4AE" w:rsidR="00F52D44" w:rsidRDefault="007A219B" w:rsidP="003F76B9">
      <w:pPr>
        <w:pStyle w:val="Header"/>
        <w:tabs>
          <w:tab w:val="clear" w:pos="4536"/>
          <w:tab w:val="clear" w:pos="9072"/>
        </w:tabs>
        <w:spacing w:line="240" w:lineRule="exact"/>
        <w:ind w:right="-1"/>
        <w:jc w:val="both"/>
        <w:rPr>
          <w:rFonts w:ascii="Arial" w:hAnsi="Arial" w:cs="Arial"/>
          <w:sz w:val="22"/>
          <w:szCs w:val="22"/>
        </w:rPr>
      </w:pPr>
      <w:r w:rsidRPr="007A219B">
        <w:rPr>
          <w:rFonts w:ascii="Arial" w:hAnsi="Arial" w:cs="Arial"/>
          <w:sz w:val="22"/>
          <w:szCs w:val="22"/>
        </w:rPr>
        <w:t>Jedinstveno evropsko tržište je naše domaće tržište. To je osnova za prosperitet ljudi i uticaj Evrope u svetu. Evropske institucije i države članice ne smeju samo da vrate njeno funkcionisanje na nivoe pre pandemije. Produbljivanje i jačanje našeg jedinstvenog tržišta je od vitalnog značaja za trajni rast i zapošljavanje. Obnovljena pažnja se mora posvetiti uklanjanju prepreka slobodnom kretanju i promovisanju mobilnosti nakon Covid krize.</w:t>
      </w:r>
    </w:p>
    <w:p w14:paraId="12522A64" w14:textId="77777777" w:rsidR="00EE0AE9" w:rsidRPr="00511122" w:rsidRDefault="00EE0AE9" w:rsidP="003F76B9">
      <w:pPr>
        <w:pStyle w:val="Header"/>
        <w:tabs>
          <w:tab w:val="clear" w:pos="4536"/>
          <w:tab w:val="clear" w:pos="9072"/>
        </w:tabs>
        <w:spacing w:line="240" w:lineRule="exact"/>
        <w:ind w:right="-1"/>
        <w:jc w:val="both"/>
        <w:rPr>
          <w:rFonts w:ascii="Arial" w:hAnsi="Arial" w:cs="Arial"/>
          <w:sz w:val="22"/>
          <w:szCs w:val="22"/>
        </w:rPr>
      </w:pPr>
    </w:p>
    <w:p w14:paraId="517A0FD6" w14:textId="7E811A58" w:rsidR="007A219B" w:rsidRDefault="007A219B">
      <w:pPr>
        <w:pStyle w:val="Header"/>
        <w:spacing w:line="240" w:lineRule="exact"/>
        <w:ind w:right="-1"/>
        <w:jc w:val="both"/>
        <w:rPr>
          <w:rFonts w:ascii="Arial" w:hAnsi="Arial" w:cs="Arial"/>
          <w:sz w:val="22"/>
          <w:szCs w:val="22"/>
        </w:rPr>
      </w:pPr>
      <w:r w:rsidRPr="007A219B">
        <w:rPr>
          <w:rFonts w:ascii="Arial" w:hAnsi="Arial" w:cs="Arial"/>
          <w:sz w:val="22"/>
          <w:szCs w:val="22"/>
        </w:rPr>
        <w:t>Više nego ikad, potrebna nam je ekonomska i industrijska politika koja podržava kompanije u njihovim naporima da stvore rast i otvore radna mesta uz sprovođenje ambicioznih zelenih i digitalnih tranzicija. Nedostatak veština mogao bi da ugrozi oporavak. Francusko predsed</w:t>
      </w:r>
      <w:r w:rsidR="004312FE">
        <w:rPr>
          <w:rFonts w:ascii="Arial" w:hAnsi="Arial" w:cs="Arial"/>
          <w:sz w:val="22"/>
          <w:szCs w:val="22"/>
        </w:rPr>
        <w:t>avanje</w:t>
      </w:r>
      <w:r w:rsidRPr="007A219B">
        <w:rPr>
          <w:rFonts w:ascii="Arial" w:hAnsi="Arial" w:cs="Arial"/>
          <w:sz w:val="22"/>
          <w:szCs w:val="22"/>
        </w:rPr>
        <w:t xml:space="preserve"> trebalo bi da da prioritet merama obrazovanja i obuke za usavršavanje i prekvalifikaciju zaposlenih u Evropi i onih koji traže posao u skladu sa potrebama tržišta rada. Razvijanje veština zaposlenih je strateško pitanje za svaku kompaniju. Socijalni partneri su ključni akteri u stručnom obrazovanju. Uopšteno govoreći, u ovom periodu bez presedana, socijalni partneri su ključni igrači za oporavak. Obezbeđivanje da mere evropske socijalne politike poštuju supsidijarnost je od suštinskog značaja kako bi se omogućilo socijalnim partnerima da igraju svoju ulogu.</w:t>
      </w:r>
    </w:p>
    <w:p w14:paraId="4D053C7B" w14:textId="77777777" w:rsidR="004312FE" w:rsidRDefault="004312FE">
      <w:pPr>
        <w:pStyle w:val="Header"/>
        <w:spacing w:line="240" w:lineRule="exact"/>
        <w:ind w:right="-1"/>
        <w:jc w:val="both"/>
        <w:rPr>
          <w:rFonts w:ascii="Arial" w:hAnsi="Arial" w:cs="Arial"/>
          <w:sz w:val="22"/>
          <w:szCs w:val="22"/>
        </w:rPr>
      </w:pPr>
    </w:p>
    <w:p w14:paraId="079444E7" w14:textId="10823EF5" w:rsidR="00B32FC7" w:rsidRPr="00511122" w:rsidRDefault="00D771AF" w:rsidP="001E7AAB">
      <w:pPr>
        <w:pStyle w:val="Header"/>
        <w:spacing w:line="240" w:lineRule="exact"/>
        <w:ind w:right="-1"/>
        <w:jc w:val="both"/>
        <w:rPr>
          <w:rFonts w:ascii="Arial" w:hAnsi="Arial" w:cs="Arial"/>
          <w:sz w:val="22"/>
          <w:szCs w:val="22"/>
        </w:rPr>
      </w:pPr>
      <w:r w:rsidRPr="00D771AF">
        <w:rPr>
          <w:rFonts w:ascii="Arial" w:hAnsi="Arial" w:cs="Arial"/>
          <w:sz w:val="22"/>
          <w:szCs w:val="22"/>
        </w:rPr>
        <w:t xml:space="preserve">Rešavanje trenutnih uskih grla i ograničenja </w:t>
      </w:r>
      <w:r w:rsidR="00704FE3">
        <w:rPr>
          <w:rFonts w:ascii="Arial" w:hAnsi="Arial" w:cs="Arial"/>
          <w:sz w:val="22"/>
          <w:szCs w:val="22"/>
        </w:rPr>
        <w:t>u snabdevanju</w:t>
      </w:r>
      <w:r w:rsidRPr="00D771AF">
        <w:rPr>
          <w:rFonts w:ascii="Arial" w:hAnsi="Arial" w:cs="Arial"/>
          <w:sz w:val="22"/>
          <w:szCs w:val="22"/>
        </w:rPr>
        <w:t xml:space="preserve"> koja podižu cene i prete da potkopaju oporavak je takođe od suštinskog značaja.</w:t>
      </w:r>
    </w:p>
    <w:p w14:paraId="2433F66B" w14:textId="30F0AD28" w:rsidR="00CB4A66" w:rsidRDefault="00CB4A66" w:rsidP="003F76B9">
      <w:pPr>
        <w:pStyle w:val="Header"/>
        <w:tabs>
          <w:tab w:val="clear" w:pos="4536"/>
          <w:tab w:val="clear" w:pos="9072"/>
        </w:tabs>
        <w:spacing w:line="240" w:lineRule="exact"/>
        <w:ind w:right="-1"/>
        <w:jc w:val="both"/>
        <w:rPr>
          <w:rFonts w:ascii="Arial" w:hAnsi="Arial" w:cs="Arial"/>
          <w:sz w:val="22"/>
          <w:szCs w:val="22"/>
        </w:rPr>
      </w:pPr>
    </w:p>
    <w:p w14:paraId="1C2FB139" w14:textId="6CAE9B71" w:rsidR="00833F8D" w:rsidRDefault="00833F8D" w:rsidP="003F76B9">
      <w:pPr>
        <w:pStyle w:val="Header"/>
        <w:tabs>
          <w:tab w:val="clear" w:pos="4536"/>
          <w:tab w:val="clear" w:pos="9072"/>
        </w:tabs>
        <w:spacing w:line="240" w:lineRule="exact"/>
        <w:ind w:right="-1"/>
        <w:jc w:val="both"/>
        <w:rPr>
          <w:rFonts w:ascii="Arial" w:hAnsi="Arial" w:cs="Arial"/>
          <w:sz w:val="22"/>
          <w:szCs w:val="22"/>
        </w:rPr>
      </w:pPr>
    </w:p>
    <w:p w14:paraId="018E1FB0" w14:textId="77777777" w:rsidR="00833F8D" w:rsidRPr="00511122" w:rsidRDefault="00833F8D" w:rsidP="003F76B9">
      <w:pPr>
        <w:pStyle w:val="Header"/>
        <w:tabs>
          <w:tab w:val="clear" w:pos="4536"/>
          <w:tab w:val="clear" w:pos="9072"/>
        </w:tabs>
        <w:spacing w:line="240" w:lineRule="exact"/>
        <w:ind w:right="-1"/>
        <w:jc w:val="both"/>
        <w:rPr>
          <w:rFonts w:ascii="Arial" w:hAnsi="Arial" w:cs="Arial"/>
          <w:sz w:val="22"/>
          <w:szCs w:val="22"/>
        </w:rPr>
      </w:pPr>
    </w:p>
    <w:p w14:paraId="04B89F31" w14:textId="1E6F6FC8" w:rsidR="00FC0E9B" w:rsidRPr="00511122" w:rsidRDefault="00704FE3" w:rsidP="007F1F2E">
      <w:pPr>
        <w:pStyle w:val="Header"/>
        <w:numPr>
          <w:ilvl w:val="0"/>
          <w:numId w:val="2"/>
        </w:numPr>
        <w:tabs>
          <w:tab w:val="clear" w:pos="4536"/>
          <w:tab w:val="clear" w:pos="9072"/>
        </w:tabs>
        <w:spacing w:line="240" w:lineRule="exact"/>
        <w:ind w:right="-1"/>
        <w:jc w:val="both"/>
        <w:rPr>
          <w:rFonts w:ascii="Arial" w:hAnsi="Arial" w:cs="Arial"/>
          <w:b/>
          <w:bCs/>
          <w:sz w:val="22"/>
          <w:szCs w:val="22"/>
        </w:rPr>
      </w:pPr>
      <w:r w:rsidRPr="00704FE3">
        <w:rPr>
          <w:rFonts w:ascii="Arial" w:hAnsi="Arial" w:cs="Arial"/>
          <w:b/>
          <w:bCs/>
          <w:sz w:val="22"/>
          <w:szCs w:val="22"/>
          <w:lang w:val="en-US"/>
        </w:rPr>
        <w:t>Rešavanje ka</w:t>
      </w:r>
      <w:r w:rsidRPr="00704FE3">
        <w:rPr>
          <w:rFonts w:ascii="Arial" w:hAnsi="Arial" w:cs="Arial"/>
          <w:b/>
          <w:bCs/>
          <w:sz w:val="22"/>
          <w:szCs w:val="22"/>
          <w:lang w:val="bs-Latn-BA"/>
        </w:rPr>
        <w:t>šnjenja</w:t>
      </w:r>
      <w:r w:rsidRPr="00704FE3">
        <w:rPr>
          <w:rFonts w:ascii="Arial" w:hAnsi="Arial" w:cs="Arial"/>
          <w:b/>
          <w:bCs/>
          <w:sz w:val="22"/>
          <w:szCs w:val="22"/>
          <w:lang w:val="en-US"/>
        </w:rPr>
        <w:t xml:space="preserve"> u snabdevanju</w:t>
      </w:r>
      <w:r w:rsidR="007639E7">
        <w:rPr>
          <w:rFonts w:ascii="Arial" w:hAnsi="Arial" w:cs="Arial"/>
          <w:b/>
          <w:bCs/>
          <w:sz w:val="22"/>
          <w:szCs w:val="22"/>
          <w:lang w:val="en-US"/>
        </w:rPr>
        <w:t xml:space="preserve"> i</w:t>
      </w:r>
      <w:r w:rsidRPr="00704FE3">
        <w:rPr>
          <w:rFonts w:ascii="Arial" w:hAnsi="Arial" w:cs="Arial"/>
          <w:b/>
          <w:bCs/>
          <w:sz w:val="22"/>
          <w:szCs w:val="22"/>
          <w:lang w:val="en-US"/>
        </w:rPr>
        <w:t xml:space="preserve"> rizika od inflacije</w:t>
      </w:r>
    </w:p>
    <w:p w14:paraId="06E61993" w14:textId="35E89B28" w:rsidR="00FC0E9B" w:rsidRPr="00511122" w:rsidRDefault="00FC0E9B" w:rsidP="00FC0E9B">
      <w:pPr>
        <w:pStyle w:val="Header"/>
        <w:tabs>
          <w:tab w:val="clear" w:pos="4536"/>
          <w:tab w:val="clear" w:pos="9072"/>
        </w:tabs>
        <w:spacing w:line="240" w:lineRule="exact"/>
        <w:ind w:right="-1"/>
        <w:jc w:val="both"/>
        <w:rPr>
          <w:rFonts w:ascii="Arial" w:hAnsi="Arial" w:cs="Arial"/>
          <w:b/>
          <w:bCs/>
          <w:sz w:val="22"/>
          <w:szCs w:val="22"/>
        </w:rPr>
      </w:pPr>
    </w:p>
    <w:p w14:paraId="1F0C70C2" w14:textId="3814FEFA" w:rsidR="00646694" w:rsidRPr="00511122" w:rsidRDefault="00704FE3" w:rsidP="00FC0E9B">
      <w:pPr>
        <w:jc w:val="both"/>
        <w:rPr>
          <w:rFonts w:ascii="Arial" w:eastAsia="Calibri" w:hAnsi="Arial" w:cs="Arial"/>
          <w:kern w:val="24"/>
          <w:sz w:val="22"/>
          <w:szCs w:val="22"/>
          <w:lang w:eastAsia="en-US"/>
        </w:rPr>
      </w:pPr>
      <w:r w:rsidRPr="00704FE3">
        <w:rPr>
          <w:rFonts w:ascii="Arial" w:eastAsia="Calibri" w:hAnsi="Arial" w:cs="Arial"/>
          <w:kern w:val="24"/>
          <w:sz w:val="22"/>
          <w:szCs w:val="22"/>
          <w:lang w:val="en-US" w:eastAsia="en-US"/>
        </w:rPr>
        <w:t>Rastuće cene energije, nestašice mikročipova i raznih sirovina ili sirovina (kao što su magnezijum i drvo), kao i uska grla u transportnim uslugama (kao što je transport kontejnera) i nedostaci u veštinama (što dovodi do rekordnog nivoa nepopunjenih radnih mesta) sve više dižu troškove proizvodnje i slabljenje oporavka.</w:t>
      </w:r>
    </w:p>
    <w:p w14:paraId="4DCD6F44" w14:textId="77777777" w:rsidR="00646694" w:rsidRPr="00511122" w:rsidRDefault="00646694" w:rsidP="00FC0E9B">
      <w:pPr>
        <w:jc w:val="both"/>
        <w:rPr>
          <w:rFonts w:ascii="Arial" w:eastAsia="Calibri" w:hAnsi="Arial" w:cs="Arial"/>
          <w:kern w:val="24"/>
          <w:sz w:val="22"/>
          <w:szCs w:val="22"/>
          <w:lang w:eastAsia="en-US"/>
        </w:rPr>
      </w:pPr>
    </w:p>
    <w:p w14:paraId="454C5D11" w14:textId="77777777" w:rsidR="00B2183B" w:rsidRPr="00B2183B" w:rsidRDefault="00B2183B" w:rsidP="00B2183B">
      <w:pPr>
        <w:jc w:val="both"/>
        <w:rPr>
          <w:rFonts w:ascii="Arial" w:eastAsia="Calibri" w:hAnsi="Arial" w:cs="Arial"/>
          <w:kern w:val="24"/>
          <w:sz w:val="22"/>
          <w:szCs w:val="22"/>
          <w:lang w:val="en-US" w:eastAsia="en-US"/>
        </w:rPr>
      </w:pPr>
      <w:r w:rsidRPr="00B2183B">
        <w:rPr>
          <w:rFonts w:ascii="Arial" w:eastAsia="Calibri" w:hAnsi="Arial" w:cs="Arial"/>
          <w:kern w:val="24"/>
          <w:sz w:val="22"/>
          <w:szCs w:val="22"/>
          <w:lang w:val="en-US" w:eastAsia="en-US"/>
        </w:rPr>
        <w:t>Mnoga od ovih povećanja cena su prolazna i prilagođavanja zasnovana na tržištu su preferirani put za povratak na normalne cene. Međutim, priznajemo potrebu za kratkoročnim merama za rešavanje implikacija visokih cena energije za domaćinstva i kompanije. Takođe verujemo da, kada osnovni uzroci nisu tržišno zasnovani (na primer, ograničenja izvoza ili putovanja), treba ih razmotriti i rešiti.</w:t>
      </w:r>
    </w:p>
    <w:p w14:paraId="6991390F" w14:textId="7978C965" w:rsidR="00646694" w:rsidRPr="00511122" w:rsidRDefault="00646694" w:rsidP="00FC0E9B">
      <w:pPr>
        <w:jc w:val="both"/>
        <w:rPr>
          <w:rFonts w:ascii="Arial" w:eastAsia="Calibri" w:hAnsi="Arial" w:cs="Arial"/>
          <w:kern w:val="24"/>
          <w:sz w:val="22"/>
          <w:szCs w:val="22"/>
          <w:lang w:eastAsia="en-US"/>
        </w:rPr>
      </w:pPr>
    </w:p>
    <w:p w14:paraId="35D7E13C" w14:textId="4A769ED9" w:rsidR="00FC0E9B" w:rsidRDefault="00C10D53" w:rsidP="00FC0E9B">
      <w:pPr>
        <w:pStyle w:val="Header"/>
        <w:tabs>
          <w:tab w:val="clear" w:pos="4536"/>
          <w:tab w:val="clear" w:pos="9072"/>
        </w:tabs>
        <w:spacing w:line="240" w:lineRule="exact"/>
        <w:ind w:right="-1"/>
        <w:jc w:val="both"/>
        <w:rPr>
          <w:rFonts w:ascii="Arial" w:hAnsi="Arial" w:cs="Arial"/>
          <w:sz w:val="22"/>
          <w:szCs w:val="22"/>
          <w:lang w:val="en-US"/>
        </w:rPr>
      </w:pPr>
      <w:r w:rsidRPr="00C10D53">
        <w:rPr>
          <w:rFonts w:ascii="Arial" w:hAnsi="Arial" w:cs="Arial"/>
          <w:sz w:val="22"/>
          <w:szCs w:val="22"/>
          <w:lang w:val="en-US"/>
        </w:rPr>
        <w:t>U međuvremenu, kombinacija akcija može biti korisna za ublažavanje pritiska, krećući od pojednostavljivanja carinskih procedura do obezbeđivanja bolje koordinacije u vezi sa zdravstvenim i bezbednosnim merama i restrikcijama putovanja, kao i od praćenja usvajanja mera ograničavanja trgovine od strane vlada. Što se tiče nestašice u snabdevanju kritičnim sirovinama koje zavisi od trećih zemalja (kao što je magnezijum iz Kine), EU bi trebalo da blisko sarađuje sa dotičnom zemljom kako bi rešila problem.</w:t>
      </w:r>
    </w:p>
    <w:p w14:paraId="43B8B948" w14:textId="77777777" w:rsidR="00C10D53" w:rsidRPr="00511122" w:rsidRDefault="00C10D53" w:rsidP="00FC0E9B">
      <w:pPr>
        <w:pStyle w:val="Header"/>
        <w:tabs>
          <w:tab w:val="clear" w:pos="4536"/>
          <w:tab w:val="clear" w:pos="9072"/>
        </w:tabs>
        <w:spacing w:line="240" w:lineRule="exact"/>
        <w:ind w:right="-1"/>
        <w:jc w:val="both"/>
        <w:rPr>
          <w:rFonts w:ascii="Arial" w:hAnsi="Arial" w:cs="Arial"/>
          <w:b/>
          <w:bCs/>
          <w:sz w:val="22"/>
          <w:szCs w:val="22"/>
        </w:rPr>
      </w:pPr>
    </w:p>
    <w:p w14:paraId="0145AE72" w14:textId="7185E57D" w:rsidR="007F1F2E" w:rsidRPr="00511122" w:rsidRDefault="002908BA" w:rsidP="007F1F2E">
      <w:pPr>
        <w:pStyle w:val="Header"/>
        <w:numPr>
          <w:ilvl w:val="0"/>
          <w:numId w:val="2"/>
        </w:numPr>
        <w:tabs>
          <w:tab w:val="clear" w:pos="4536"/>
          <w:tab w:val="clear" w:pos="9072"/>
        </w:tabs>
        <w:spacing w:line="240" w:lineRule="exact"/>
        <w:ind w:right="-1"/>
        <w:jc w:val="both"/>
        <w:rPr>
          <w:rFonts w:ascii="Arial" w:hAnsi="Arial" w:cs="Arial"/>
          <w:b/>
          <w:bCs/>
          <w:sz w:val="22"/>
          <w:szCs w:val="22"/>
        </w:rPr>
      </w:pPr>
      <w:r>
        <w:rPr>
          <w:rFonts w:ascii="Arial" w:hAnsi="Arial" w:cs="Arial"/>
          <w:b/>
          <w:bCs/>
          <w:sz w:val="22"/>
          <w:szCs w:val="22"/>
          <w:lang w:val="en-US"/>
        </w:rPr>
        <w:t>K</w:t>
      </w:r>
      <w:r w:rsidR="0043287C" w:rsidRPr="0043287C">
        <w:rPr>
          <w:rFonts w:ascii="Arial" w:hAnsi="Arial" w:cs="Arial"/>
          <w:b/>
          <w:bCs/>
          <w:sz w:val="22"/>
          <w:szCs w:val="22"/>
          <w:lang w:val="en-US"/>
        </w:rPr>
        <w:t>limatsk</w:t>
      </w:r>
      <w:r>
        <w:rPr>
          <w:rFonts w:ascii="Arial" w:hAnsi="Arial" w:cs="Arial"/>
          <w:b/>
          <w:bCs/>
          <w:sz w:val="22"/>
          <w:szCs w:val="22"/>
          <w:lang w:val="en-US"/>
        </w:rPr>
        <w:t>e</w:t>
      </w:r>
      <w:r w:rsidR="0043287C" w:rsidRPr="0043287C">
        <w:rPr>
          <w:rFonts w:ascii="Arial" w:hAnsi="Arial" w:cs="Arial"/>
          <w:b/>
          <w:bCs/>
          <w:sz w:val="22"/>
          <w:szCs w:val="22"/>
          <w:lang w:val="en-US"/>
        </w:rPr>
        <w:t xml:space="preserve"> ambicij</w:t>
      </w:r>
      <w:r>
        <w:rPr>
          <w:rFonts w:ascii="Arial" w:hAnsi="Arial" w:cs="Arial"/>
          <w:b/>
          <w:bCs/>
          <w:sz w:val="22"/>
          <w:szCs w:val="22"/>
          <w:lang w:val="en-US"/>
        </w:rPr>
        <w:t>e ukorak sa</w:t>
      </w:r>
      <w:r w:rsidR="0043287C" w:rsidRPr="0043287C">
        <w:rPr>
          <w:rFonts w:ascii="Arial" w:hAnsi="Arial" w:cs="Arial"/>
          <w:b/>
          <w:bCs/>
          <w:sz w:val="22"/>
          <w:szCs w:val="22"/>
          <w:lang w:val="en-US"/>
        </w:rPr>
        <w:t xml:space="preserve"> industrijsk</w:t>
      </w:r>
      <w:r>
        <w:rPr>
          <w:rFonts w:ascii="Arial" w:hAnsi="Arial" w:cs="Arial"/>
          <w:b/>
          <w:bCs/>
          <w:sz w:val="22"/>
          <w:szCs w:val="22"/>
          <w:lang w:val="en-US"/>
        </w:rPr>
        <w:t>om</w:t>
      </w:r>
      <w:r w:rsidR="0043287C" w:rsidRPr="0043287C">
        <w:rPr>
          <w:rFonts w:ascii="Arial" w:hAnsi="Arial" w:cs="Arial"/>
          <w:b/>
          <w:bCs/>
          <w:sz w:val="22"/>
          <w:szCs w:val="22"/>
          <w:lang w:val="en-US"/>
        </w:rPr>
        <w:t xml:space="preserve"> konkurentno</w:t>
      </w:r>
      <w:r>
        <w:rPr>
          <w:rFonts w:ascii="Arial" w:hAnsi="Arial" w:cs="Arial"/>
          <w:b/>
          <w:bCs/>
          <w:sz w:val="22"/>
          <w:szCs w:val="22"/>
          <w:lang w:val="en-US"/>
        </w:rPr>
        <w:t>šću</w:t>
      </w:r>
    </w:p>
    <w:p w14:paraId="245ABCD0" w14:textId="77777777" w:rsidR="007F1F2E" w:rsidRPr="00511122" w:rsidRDefault="007F1F2E" w:rsidP="003F76B9">
      <w:pPr>
        <w:pStyle w:val="Header"/>
        <w:tabs>
          <w:tab w:val="clear" w:pos="4536"/>
          <w:tab w:val="clear" w:pos="9072"/>
        </w:tabs>
        <w:spacing w:line="240" w:lineRule="exact"/>
        <w:ind w:right="-1"/>
        <w:jc w:val="both"/>
        <w:rPr>
          <w:rFonts w:ascii="Arial" w:hAnsi="Arial" w:cs="Arial"/>
          <w:b/>
          <w:bCs/>
          <w:sz w:val="22"/>
          <w:szCs w:val="22"/>
        </w:rPr>
      </w:pPr>
    </w:p>
    <w:p w14:paraId="4A1FFF1A" w14:textId="77777777" w:rsidR="0043287C" w:rsidRPr="0043287C" w:rsidRDefault="0043287C" w:rsidP="0043287C">
      <w:pPr>
        <w:pStyle w:val="Header"/>
        <w:spacing w:line="240" w:lineRule="exact"/>
        <w:ind w:right="-1"/>
        <w:jc w:val="both"/>
        <w:rPr>
          <w:rFonts w:ascii="Arial" w:hAnsi="Arial" w:cs="Arial"/>
          <w:sz w:val="22"/>
          <w:szCs w:val="22"/>
          <w:lang w:val="en-US"/>
        </w:rPr>
      </w:pPr>
      <w:r w:rsidRPr="0043287C">
        <w:rPr>
          <w:rFonts w:ascii="Arial" w:hAnsi="Arial" w:cs="Arial"/>
          <w:sz w:val="22"/>
          <w:szCs w:val="22"/>
          <w:lang w:val="en-US"/>
        </w:rPr>
        <w:t>COP 26 je pokazao da je evropski biznis aktivno angažovan u tranziciji i da podržava napredak na međunarodnoj sceni. Klimatske ambicije i industrijska konkurentnost mogu ići ruku pod ruku ako je zelena tranzicija podržana pametnim i stabilnim pravnim okvirom. Francusko predsedavanje mora da obezbedi da pravni okvir EU olakšava inovacije i pomaže u dovođenju novih tehnologija na tržište kako bi se minimizirali troškovi tranzicije za preduzeća i društva.</w:t>
      </w:r>
    </w:p>
    <w:p w14:paraId="5464683E" w14:textId="77777777" w:rsidR="002276C7" w:rsidRPr="00511122" w:rsidRDefault="002276C7" w:rsidP="003F76B9">
      <w:pPr>
        <w:pStyle w:val="Header"/>
        <w:tabs>
          <w:tab w:val="clear" w:pos="4536"/>
          <w:tab w:val="clear" w:pos="9072"/>
        </w:tabs>
        <w:spacing w:line="240" w:lineRule="exact"/>
        <w:ind w:right="-1"/>
        <w:jc w:val="both"/>
        <w:rPr>
          <w:rFonts w:ascii="Arial" w:hAnsi="Arial" w:cs="Arial"/>
          <w:sz w:val="22"/>
          <w:szCs w:val="22"/>
        </w:rPr>
      </w:pPr>
    </w:p>
    <w:p w14:paraId="4B9BBB41" w14:textId="0F0A3599" w:rsidR="00B23276" w:rsidRPr="00511122" w:rsidRDefault="00C626AC" w:rsidP="00B23276">
      <w:pPr>
        <w:pStyle w:val="Header"/>
        <w:tabs>
          <w:tab w:val="clear" w:pos="4536"/>
          <w:tab w:val="clear" w:pos="9072"/>
        </w:tabs>
        <w:spacing w:line="240" w:lineRule="exact"/>
        <w:ind w:right="-1"/>
        <w:jc w:val="both"/>
        <w:rPr>
          <w:rFonts w:ascii="Arial" w:hAnsi="Arial" w:cs="Arial"/>
          <w:sz w:val="22"/>
          <w:szCs w:val="22"/>
        </w:rPr>
      </w:pPr>
      <w:r w:rsidRPr="00C626AC">
        <w:rPr>
          <w:rFonts w:ascii="Arial" w:hAnsi="Arial" w:cs="Arial"/>
          <w:sz w:val="22"/>
          <w:szCs w:val="22"/>
          <w:lang w:val="en-US"/>
        </w:rPr>
        <w:t>Odgovarajuća finansijska sredstva, pouzdana merenja curenja ugljenika, napredak u globalnim cenama ugljenika, sigurnost i pristupačnost snabdevanja energijom iz obnovljivih i nisko-ugljeničnih izvora, kao i međusobno povezane i fleksibilne energetske infrastrukture su ključni sastojci za uspeh. Investicije u sve izvore energije sa nultim i niskim sadržajem ugljenika i rešenja neophodna za tranziciju stoga moraju biti integrisane u taksonomiju za održivo finansiranje. Razvijanje kriterijuma za društveno održive aktivnosti je sasvim drugo pitanje i ne smatramo da bi taksonomiju trebalo proširiti na društvene aspekte.</w:t>
      </w:r>
      <w:r w:rsidR="00F31395" w:rsidRPr="00511122">
        <w:rPr>
          <w:rFonts w:ascii="Arial" w:hAnsi="Arial" w:cs="Arial"/>
          <w:sz w:val="22"/>
          <w:szCs w:val="22"/>
        </w:rPr>
        <w:t xml:space="preserve">. </w:t>
      </w:r>
    </w:p>
    <w:p w14:paraId="29A72F94" w14:textId="77777777" w:rsidR="00B23276" w:rsidRPr="00511122" w:rsidRDefault="00B23276" w:rsidP="00B23276">
      <w:pPr>
        <w:pStyle w:val="Header"/>
        <w:tabs>
          <w:tab w:val="clear" w:pos="4536"/>
          <w:tab w:val="clear" w:pos="9072"/>
        </w:tabs>
        <w:spacing w:line="240" w:lineRule="exact"/>
        <w:ind w:right="-1"/>
        <w:jc w:val="both"/>
        <w:rPr>
          <w:rFonts w:ascii="Arial" w:hAnsi="Arial" w:cs="Arial"/>
          <w:i/>
          <w:iCs/>
          <w:sz w:val="22"/>
          <w:szCs w:val="22"/>
        </w:rPr>
      </w:pPr>
    </w:p>
    <w:p w14:paraId="2BBA1838" w14:textId="6FA36601" w:rsidR="00EE0AE9" w:rsidRPr="00511122" w:rsidRDefault="00AB773A" w:rsidP="003F76B9">
      <w:pPr>
        <w:pStyle w:val="Header"/>
        <w:tabs>
          <w:tab w:val="clear" w:pos="4536"/>
          <w:tab w:val="clear" w:pos="9072"/>
        </w:tabs>
        <w:spacing w:line="240" w:lineRule="exact"/>
        <w:ind w:right="-1"/>
        <w:jc w:val="both"/>
        <w:rPr>
          <w:rFonts w:ascii="Arial" w:hAnsi="Arial" w:cs="Arial"/>
          <w:i/>
          <w:iCs/>
          <w:sz w:val="22"/>
          <w:szCs w:val="22"/>
        </w:rPr>
      </w:pPr>
      <w:bookmarkStart w:id="0" w:name="_Hlk88555380"/>
      <w:r w:rsidRPr="00AB773A">
        <w:rPr>
          <w:rFonts w:ascii="Arial" w:hAnsi="Arial" w:cs="Arial"/>
          <w:sz w:val="22"/>
          <w:szCs w:val="22"/>
          <w:lang w:val="en-US"/>
        </w:rPr>
        <w:t>Mehanizam prilagođavanja granice ugljenika (CBAM) u skladu sa Svetskom trgovinskom organizacijom (STO) može biti deo odgovora, ali zahteva sektorski i postepen pristup, počevši prvo od faze testiranja. CBAM ne treba posmatrati kao alternativu dozvoljenim kvotam</w:t>
      </w:r>
      <w:r w:rsidR="0091755C">
        <w:rPr>
          <w:rFonts w:ascii="Arial" w:hAnsi="Arial" w:cs="Arial"/>
          <w:sz w:val="22"/>
          <w:szCs w:val="22"/>
          <w:lang w:val="en-US"/>
        </w:rPr>
        <w:t>a</w:t>
      </w:r>
      <w:r w:rsidRPr="00AB773A">
        <w:rPr>
          <w:rFonts w:ascii="Arial" w:hAnsi="Arial" w:cs="Arial"/>
          <w:sz w:val="22"/>
          <w:szCs w:val="22"/>
          <w:lang w:val="en-US"/>
        </w:rPr>
        <w:t>, već kao njihovu dopunu sve dok mehanizam ne dokaže svoju efikasnost. U tom trenutku treba razmotriti mere za podršku izvozu CBAM sektora u skladu sa zahtevima STO-a.</w:t>
      </w:r>
      <w:bookmarkEnd w:id="0"/>
      <w:r w:rsidR="007940AF" w:rsidRPr="00511122">
        <w:rPr>
          <w:rFonts w:ascii="Arial" w:hAnsi="Arial" w:cs="Arial"/>
          <w:sz w:val="22"/>
          <w:szCs w:val="22"/>
        </w:rPr>
        <w:t xml:space="preserve"> </w:t>
      </w:r>
    </w:p>
    <w:p w14:paraId="083C9A0B" w14:textId="17EE4A20" w:rsidR="00C4459D" w:rsidRPr="00511122" w:rsidRDefault="00C4459D" w:rsidP="003F76B9">
      <w:pPr>
        <w:pStyle w:val="Header"/>
        <w:tabs>
          <w:tab w:val="clear" w:pos="4536"/>
          <w:tab w:val="clear" w:pos="9072"/>
        </w:tabs>
        <w:spacing w:line="240" w:lineRule="exact"/>
        <w:ind w:right="-1"/>
        <w:jc w:val="both"/>
        <w:rPr>
          <w:rFonts w:ascii="Arial" w:hAnsi="Arial" w:cs="Arial"/>
          <w:i/>
          <w:iCs/>
          <w:sz w:val="22"/>
          <w:szCs w:val="22"/>
        </w:rPr>
      </w:pPr>
      <w:bookmarkStart w:id="1" w:name="_Hlk86773068"/>
    </w:p>
    <w:p w14:paraId="2B9E74F5" w14:textId="3E3B3B79" w:rsidR="00C4459D" w:rsidRPr="00511122" w:rsidRDefault="00C4459D" w:rsidP="003F76B9">
      <w:pPr>
        <w:pStyle w:val="Header"/>
        <w:tabs>
          <w:tab w:val="clear" w:pos="4536"/>
          <w:tab w:val="clear" w:pos="9072"/>
        </w:tabs>
        <w:spacing w:line="240" w:lineRule="exact"/>
        <w:ind w:right="-1"/>
        <w:jc w:val="both"/>
        <w:rPr>
          <w:rFonts w:ascii="Arial" w:hAnsi="Arial" w:cs="Arial"/>
          <w:i/>
          <w:iCs/>
          <w:sz w:val="22"/>
          <w:szCs w:val="22"/>
        </w:rPr>
      </w:pPr>
    </w:p>
    <w:p w14:paraId="016557C5" w14:textId="0C3DA9C3" w:rsidR="001736E6" w:rsidRPr="00511122" w:rsidRDefault="001736E6" w:rsidP="003F76B9">
      <w:pPr>
        <w:pStyle w:val="Header"/>
        <w:tabs>
          <w:tab w:val="clear" w:pos="4536"/>
          <w:tab w:val="clear" w:pos="9072"/>
        </w:tabs>
        <w:spacing w:line="240" w:lineRule="exact"/>
        <w:ind w:right="-1"/>
        <w:jc w:val="both"/>
        <w:rPr>
          <w:rFonts w:ascii="Arial" w:hAnsi="Arial" w:cs="Arial"/>
          <w:i/>
          <w:iCs/>
          <w:sz w:val="22"/>
          <w:szCs w:val="22"/>
        </w:rPr>
      </w:pPr>
      <w:r w:rsidRPr="00511122">
        <w:rPr>
          <w:rFonts w:ascii="Arial" w:hAnsi="Arial" w:cs="Arial"/>
          <w:i/>
          <w:iCs/>
          <w:sz w:val="22"/>
          <w:szCs w:val="22"/>
        </w:rPr>
        <w:br w:type="page"/>
      </w:r>
    </w:p>
    <w:p w14:paraId="34A65450" w14:textId="77777777" w:rsidR="001736E6" w:rsidRPr="00511122" w:rsidRDefault="001736E6" w:rsidP="003F76B9">
      <w:pPr>
        <w:pStyle w:val="Header"/>
        <w:tabs>
          <w:tab w:val="clear" w:pos="4536"/>
          <w:tab w:val="clear" w:pos="9072"/>
        </w:tabs>
        <w:spacing w:line="240" w:lineRule="exact"/>
        <w:ind w:right="-1"/>
        <w:jc w:val="both"/>
        <w:rPr>
          <w:rFonts w:ascii="Arial" w:hAnsi="Arial" w:cs="Arial"/>
          <w:i/>
          <w:iCs/>
          <w:sz w:val="22"/>
          <w:szCs w:val="22"/>
        </w:rPr>
      </w:pPr>
    </w:p>
    <w:p w14:paraId="68695471" w14:textId="2AE3ED83" w:rsidR="007F1F2E" w:rsidRPr="00511122" w:rsidRDefault="00AB773A" w:rsidP="007F1F2E">
      <w:pPr>
        <w:pStyle w:val="Header"/>
        <w:numPr>
          <w:ilvl w:val="0"/>
          <w:numId w:val="2"/>
        </w:numPr>
        <w:tabs>
          <w:tab w:val="clear" w:pos="4536"/>
          <w:tab w:val="clear" w:pos="9072"/>
        </w:tabs>
        <w:spacing w:line="240" w:lineRule="exact"/>
        <w:ind w:right="-1"/>
        <w:jc w:val="both"/>
        <w:rPr>
          <w:rFonts w:ascii="Arial" w:hAnsi="Arial" w:cs="Arial"/>
          <w:b/>
          <w:bCs/>
          <w:sz w:val="22"/>
          <w:szCs w:val="22"/>
        </w:rPr>
      </w:pPr>
      <w:bookmarkStart w:id="2" w:name="_Hlk88555572"/>
      <w:bookmarkStart w:id="3" w:name="_Hlk86825854"/>
      <w:r w:rsidRPr="00AB773A">
        <w:rPr>
          <w:rFonts w:ascii="Arial" w:hAnsi="Arial" w:cs="Arial"/>
          <w:b/>
          <w:bCs/>
          <w:sz w:val="22"/>
          <w:szCs w:val="22"/>
          <w:lang w:val="en-US"/>
        </w:rPr>
        <w:t>Regulativa naklonjena inovacijama je ključna i za digitalizaciju</w:t>
      </w:r>
      <w:bookmarkEnd w:id="2"/>
    </w:p>
    <w:p w14:paraId="6541C584" w14:textId="77777777" w:rsidR="007F1F2E" w:rsidRPr="00511122" w:rsidRDefault="007F1F2E" w:rsidP="007F1F2E">
      <w:pPr>
        <w:pStyle w:val="Header"/>
        <w:tabs>
          <w:tab w:val="clear" w:pos="4536"/>
          <w:tab w:val="clear" w:pos="9072"/>
        </w:tabs>
        <w:spacing w:line="240" w:lineRule="exact"/>
        <w:ind w:left="720" w:right="-1"/>
        <w:jc w:val="both"/>
        <w:rPr>
          <w:rFonts w:ascii="Arial" w:hAnsi="Arial" w:cs="Arial"/>
          <w:sz w:val="22"/>
          <w:szCs w:val="22"/>
        </w:rPr>
      </w:pPr>
    </w:p>
    <w:p w14:paraId="4A4BB70F" w14:textId="1A38EE69" w:rsidR="001276C9" w:rsidRPr="00511122" w:rsidRDefault="00824095" w:rsidP="003F76B9">
      <w:pPr>
        <w:pStyle w:val="Header"/>
        <w:tabs>
          <w:tab w:val="clear" w:pos="4536"/>
          <w:tab w:val="clear" w:pos="9072"/>
        </w:tabs>
        <w:spacing w:line="240" w:lineRule="exact"/>
        <w:ind w:right="-1"/>
        <w:jc w:val="both"/>
        <w:rPr>
          <w:rFonts w:ascii="Arial" w:hAnsi="Arial" w:cs="Arial"/>
          <w:sz w:val="22"/>
          <w:szCs w:val="22"/>
        </w:rPr>
      </w:pPr>
      <w:r w:rsidRPr="00824095">
        <w:rPr>
          <w:rFonts w:ascii="Arial" w:hAnsi="Arial" w:cs="Arial"/>
          <w:sz w:val="22"/>
          <w:szCs w:val="22"/>
          <w:lang w:val="en-US"/>
        </w:rPr>
        <w:t>Pravni okvir vezan za pitanja digitalizacije koji je naklonjen inovacijama je takođe od suštinskog značaja za mobilizaciju investicija potrebnih za uspešnu digitalnu tranziciju. U potpunosti se slažemo da digitalizacija treba da bude usredsređena na čoveka i da ima koristi za društvo u celini i da se zalaže za ravnotežu u regulatornom pristupu za zaštitu bez gušenja inovacija.</w:t>
      </w:r>
    </w:p>
    <w:p w14:paraId="60A7682C" w14:textId="115451F4" w:rsidR="00C466A3" w:rsidRPr="00511122" w:rsidRDefault="00C466A3" w:rsidP="003F76B9">
      <w:pPr>
        <w:pStyle w:val="Header"/>
        <w:tabs>
          <w:tab w:val="clear" w:pos="4536"/>
          <w:tab w:val="clear" w:pos="9072"/>
        </w:tabs>
        <w:spacing w:line="240" w:lineRule="exact"/>
        <w:ind w:right="-1"/>
        <w:jc w:val="both"/>
        <w:rPr>
          <w:rFonts w:ascii="Arial" w:hAnsi="Arial" w:cs="Arial"/>
          <w:sz w:val="22"/>
          <w:szCs w:val="22"/>
        </w:rPr>
      </w:pPr>
    </w:p>
    <w:p w14:paraId="713C7389" w14:textId="279A558B" w:rsidR="001276C9" w:rsidRDefault="00012E4D" w:rsidP="003F76B9">
      <w:pPr>
        <w:pStyle w:val="Header"/>
        <w:tabs>
          <w:tab w:val="clear" w:pos="4536"/>
          <w:tab w:val="clear" w:pos="9072"/>
        </w:tabs>
        <w:spacing w:line="240" w:lineRule="exact"/>
        <w:ind w:right="-1"/>
        <w:jc w:val="both"/>
        <w:rPr>
          <w:rFonts w:ascii="Arial" w:hAnsi="Arial" w:cs="Arial"/>
          <w:sz w:val="22"/>
          <w:szCs w:val="22"/>
          <w:lang w:val="en-US"/>
        </w:rPr>
      </w:pPr>
      <w:r w:rsidRPr="00012E4D">
        <w:rPr>
          <w:rFonts w:ascii="Arial" w:hAnsi="Arial" w:cs="Arial"/>
          <w:sz w:val="22"/>
          <w:szCs w:val="22"/>
          <w:lang w:val="en-US"/>
        </w:rPr>
        <w:t>Računamo na francusko predsedavanje da učvrsti napredak postignut u vezi sa Zakonom o digitalnim uslugama i Zakonom o digitalnim tržištima, podržavajući princip zemlje porekla koji olakšava prekogranično pružanje digitalnih usluga, istovremeno podržavajući uklanjanje nelegalne robe i sadržaja na mreži i utvrđivanje usklađenih pravila koja osiguravaju konkurentna i fer tržišta u digitalnom sektoru širom Evropske unije na kojima su prisutni čuvari kapije (gatekeepers).</w:t>
      </w:r>
    </w:p>
    <w:p w14:paraId="66D07E40" w14:textId="77777777" w:rsidR="00012E4D" w:rsidRPr="00511122" w:rsidRDefault="00012E4D" w:rsidP="003F76B9">
      <w:pPr>
        <w:pStyle w:val="Header"/>
        <w:tabs>
          <w:tab w:val="clear" w:pos="4536"/>
          <w:tab w:val="clear" w:pos="9072"/>
        </w:tabs>
        <w:spacing w:line="240" w:lineRule="exact"/>
        <w:ind w:right="-1"/>
        <w:jc w:val="both"/>
        <w:rPr>
          <w:rFonts w:ascii="Arial" w:hAnsi="Arial" w:cs="Arial"/>
          <w:sz w:val="22"/>
          <w:szCs w:val="22"/>
        </w:rPr>
      </w:pPr>
    </w:p>
    <w:bookmarkEnd w:id="3"/>
    <w:p w14:paraId="0FF8CF7A" w14:textId="22B2A99C" w:rsidR="00A90D1C" w:rsidRPr="00511122" w:rsidRDefault="00012E4D" w:rsidP="003F76B9">
      <w:pPr>
        <w:pStyle w:val="Header"/>
        <w:tabs>
          <w:tab w:val="clear" w:pos="4536"/>
          <w:tab w:val="clear" w:pos="9072"/>
        </w:tabs>
        <w:spacing w:line="240" w:lineRule="exact"/>
        <w:ind w:right="-1"/>
        <w:jc w:val="both"/>
        <w:rPr>
          <w:rFonts w:ascii="Arial" w:hAnsi="Arial" w:cs="Arial"/>
          <w:i/>
          <w:iCs/>
          <w:sz w:val="22"/>
          <w:szCs w:val="22"/>
        </w:rPr>
      </w:pPr>
      <w:r w:rsidRPr="00012E4D">
        <w:rPr>
          <w:rFonts w:ascii="Arial" w:hAnsi="Arial" w:cs="Arial"/>
          <w:sz w:val="22"/>
          <w:szCs w:val="22"/>
          <w:lang w:val="en-US"/>
        </w:rPr>
        <w:t>Pozdravljamo pristup zasnovan na riziku predloženog Zakona o veštačkoj inteligenciji (AI), ali tražimo da se pojasni njegov obim kako bi se osiguralo da AI Zakon reguliše samo visokorizične primene AI u oblastima u kojima se pojavio jasan regulatorni jaz, uz dovoljnu fleksibilnost za prilagođavanje internih kontrolnih provera potrebnih pre prodaje AI sistema u svetlu novih saznanja.</w:t>
      </w:r>
    </w:p>
    <w:p w14:paraId="694CDD61" w14:textId="77777777" w:rsidR="001736E6" w:rsidRPr="00511122" w:rsidRDefault="001736E6" w:rsidP="003F76B9">
      <w:pPr>
        <w:pStyle w:val="Header"/>
        <w:tabs>
          <w:tab w:val="clear" w:pos="4536"/>
          <w:tab w:val="clear" w:pos="9072"/>
        </w:tabs>
        <w:spacing w:line="240" w:lineRule="exact"/>
        <w:ind w:right="-1"/>
        <w:jc w:val="both"/>
        <w:rPr>
          <w:rFonts w:ascii="Arial" w:hAnsi="Arial" w:cs="Arial"/>
          <w:i/>
          <w:iCs/>
          <w:sz w:val="22"/>
          <w:szCs w:val="22"/>
        </w:rPr>
      </w:pPr>
    </w:p>
    <w:p w14:paraId="76AF53F3" w14:textId="107DBF99" w:rsidR="007F1F2E" w:rsidRPr="00511122" w:rsidRDefault="00012E4D" w:rsidP="007F1F2E">
      <w:pPr>
        <w:pStyle w:val="Header"/>
        <w:numPr>
          <w:ilvl w:val="0"/>
          <w:numId w:val="2"/>
        </w:numPr>
        <w:tabs>
          <w:tab w:val="clear" w:pos="4536"/>
          <w:tab w:val="clear" w:pos="9072"/>
        </w:tabs>
        <w:spacing w:line="240" w:lineRule="exact"/>
        <w:ind w:right="-1"/>
        <w:jc w:val="both"/>
        <w:rPr>
          <w:rFonts w:ascii="Arial" w:hAnsi="Arial" w:cs="Arial"/>
          <w:b/>
          <w:bCs/>
          <w:sz w:val="22"/>
          <w:szCs w:val="22"/>
        </w:rPr>
      </w:pPr>
      <w:bookmarkStart w:id="4" w:name="_Hlk86829466"/>
      <w:bookmarkEnd w:id="1"/>
      <w:r w:rsidRPr="00012E4D">
        <w:rPr>
          <w:rFonts w:ascii="Arial" w:hAnsi="Arial" w:cs="Arial"/>
          <w:b/>
          <w:bCs/>
          <w:sz w:val="22"/>
          <w:szCs w:val="22"/>
          <w:lang w:val="en-US"/>
        </w:rPr>
        <w:t>Osigurati da finansijski sektor EU može da finansira oporavak, kao i zelenu i digitalnu tranziciju</w:t>
      </w:r>
    </w:p>
    <w:p w14:paraId="5DC0F8CF" w14:textId="77777777" w:rsidR="007F1F2E" w:rsidRPr="00511122" w:rsidRDefault="007F1F2E" w:rsidP="00A90D1C">
      <w:pPr>
        <w:pStyle w:val="Header"/>
        <w:tabs>
          <w:tab w:val="clear" w:pos="4536"/>
          <w:tab w:val="clear" w:pos="9072"/>
        </w:tabs>
        <w:spacing w:line="240" w:lineRule="exact"/>
        <w:ind w:right="-1"/>
        <w:jc w:val="both"/>
        <w:rPr>
          <w:rFonts w:ascii="Arial" w:hAnsi="Arial" w:cs="Arial"/>
          <w:b/>
          <w:bCs/>
          <w:sz w:val="22"/>
          <w:szCs w:val="22"/>
        </w:rPr>
      </w:pPr>
    </w:p>
    <w:p w14:paraId="4591062C" w14:textId="636F1975" w:rsidR="001276C9" w:rsidRPr="00511122" w:rsidRDefault="00012E4D" w:rsidP="00A90D1C">
      <w:pPr>
        <w:pStyle w:val="Header"/>
        <w:tabs>
          <w:tab w:val="clear" w:pos="4536"/>
          <w:tab w:val="clear" w:pos="9072"/>
        </w:tabs>
        <w:spacing w:line="240" w:lineRule="exact"/>
        <w:ind w:right="-1"/>
        <w:jc w:val="both"/>
        <w:rPr>
          <w:rFonts w:ascii="Arial" w:hAnsi="Arial" w:cs="Arial"/>
          <w:sz w:val="22"/>
          <w:szCs w:val="22"/>
        </w:rPr>
      </w:pPr>
      <w:r w:rsidRPr="00012E4D">
        <w:rPr>
          <w:rFonts w:ascii="Arial" w:hAnsi="Arial" w:cs="Arial"/>
          <w:sz w:val="22"/>
          <w:szCs w:val="22"/>
          <w:lang w:val="en-US"/>
        </w:rPr>
        <w:t>Pristup finansijama i stabilnost finansijskog tržišta važniji su nego ikad. Za uspešnu zelenu i digitalnu tranziciju potrebna su ogromna ulaganja u tehnologiju i inovacije, a 80% ovih investicija mora doći iz privatnog sektora.</w:t>
      </w:r>
    </w:p>
    <w:p w14:paraId="7CFDE274" w14:textId="77777777" w:rsidR="001276C9" w:rsidRPr="00511122" w:rsidRDefault="001276C9" w:rsidP="00A90D1C">
      <w:pPr>
        <w:pStyle w:val="Header"/>
        <w:tabs>
          <w:tab w:val="clear" w:pos="4536"/>
          <w:tab w:val="clear" w:pos="9072"/>
        </w:tabs>
        <w:spacing w:line="240" w:lineRule="exact"/>
        <w:ind w:right="-1"/>
        <w:jc w:val="both"/>
        <w:rPr>
          <w:rFonts w:ascii="Arial" w:hAnsi="Arial" w:cs="Arial"/>
          <w:sz w:val="22"/>
          <w:szCs w:val="22"/>
        </w:rPr>
      </w:pPr>
    </w:p>
    <w:p w14:paraId="01BA25A0" w14:textId="7FCA5309" w:rsidR="00A90D1C" w:rsidRPr="00511122" w:rsidRDefault="001E58B7" w:rsidP="00A90D1C">
      <w:pPr>
        <w:pStyle w:val="Header"/>
        <w:tabs>
          <w:tab w:val="clear" w:pos="4536"/>
          <w:tab w:val="clear" w:pos="9072"/>
        </w:tabs>
        <w:spacing w:line="240" w:lineRule="exact"/>
        <w:ind w:right="-1"/>
        <w:jc w:val="both"/>
        <w:rPr>
          <w:rFonts w:ascii="Arial" w:hAnsi="Arial" w:cs="Arial"/>
          <w:sz w:val="22"/>
          <w:szCs w:val="22"/>
        </w:rPr>
      </w:pPr>
      <w:r w:rsidRPr="001E58B7">
        <w:rPr>
          <w:rFonts w:ascii="Arial" w:hAnsi="Arial" w:cs="Arial"/>
          <w:sz w:val="22"/>
          <w:szCs w:val="22"/>
          <w:lang w:val="en-US"/>
        </w:rPr>
        <w:t xml:space="preserve">Francusko predsedavanje mora da obezbedi da primena standarda Bazela III u prudencijalnoj regulaciji za banke ne poveća nepotrebno kapitalne zahteve za banke EU i da očuva takozvani „faktor podrške </w:t>
      </w:r>
      <w:r w:rsidR="00102680">
        <w:rPr>
          <w:rFonts w:ascii="Arial" w:hAnsi="Arial" w:cs="Arial"/>
          <w:sz w:val="22"/>
          <w:szCs w:val="22"/>
          <w:lang w:val="en-US"/>
        </w:rPr>
        <w:t>malih i srednjih preduzeća (</w:t>
      </w:r>
      <w:r w:rsidRPr="001E58B7">
        <w:rPr>
          <w:rFonts w:ascii="Arial" w:hAnsi="Arial" w:cs="Arial"/>
          <w:sz w:val="22"/>
          <w:szCs w:val="22"/>
          <w:lang w:val="en-US"/>
        </w:rPr>
        <w:t>MSP</w:t>
      </w:r>
      <w:r w:rsidR="00102680">
        <w:rPr>
          <w:rFonts w:ascii="Arial" w:hAnsi="Arial" w:cs="Arial"/>
          <w:sz w:val="22"/>
          <w:szCs w:val="22"/>
          <w:lang w:val="en-US"/>
        </w:rPr>
        <w:t>)</w:t>
      </w:r>
      <w:r w:rsidRPr="001E58B7">
        <w:rPr>
          <w:rFonts w:ascii="Arial" w:hAnsi="Arial" w:cs="Arial"/>
          <w:sz w:val="22"/>
          <w:szCs w:val="22"/>
          <w:lang w:val="en-US"/>
        </w:rPr>
        <w:t>“, koji smanjuje prekomerne troškove kreditiranja MSP koji proizilaze iz kombinovanih efekata zahteva za većim kapitalom i pravila o likvidnosti.</w:t>
      </w:r>
    </w:p>
    <w:bookmarkEnd w:id="4"/>
    <w:p w14:paraId="260A5C03" w14:textId="42AC82C0" w:rsidR="006D5ED6" w:rsidRPr="00511122" w:rsidRDefault="006D5ED6" w:rsidP="00A90D1C">
      <w:pPr>
        <w:pStyle w:val="Header"/>
        <w:tabs>
          <w:tab w:val="clear" w:pos="4536"/>
          <w:tab w:val="clear" w:pos="9072"/>
        </w:tabs>
        <w:spacing w:line="240" w:lineRule="exact"/>
        <w:ind w:right="-1"/>
        <w:jc w:val="both"/>
        <w:rPr>
          <w:rFonts w:ascii="Arial" w:hAnsi="Arial" w:cs="Arial"/>
          <w:sz w:val="22"/>
          <w:szCs w:val="22"/>
        </w:rPr>
      </w:pPr>
    </w:p>
    <w:p w14:paraId="6F20E234" w14:textId="77777777" w:rsidR="001736E6" w:rsidRPr="00511122" w:rsidRDefault="001736E6" w:rsidP="00A90D1C">
      <w:pPr>
        <w:pStyle w:val="Header"/>
        <w:tabs>
          <w:tab w:val="clear" w:pos="4536"/>
          <w:tab w:val="clear" w:pos="9072"/>
        </w:tabs>
        <w:spacing w:line="240" w:lineRule="exact"/>
        <w:ind w:right="-1"/>
        <w:jc w:val="both"/>
        <w:rPr>
          <w:rFonts w:ascii="Arial" w:hAnsi="Arial" w:cs="Arial"/>
          <w:sz w:val="22"/>
          <w:szCs w:val="22"/>
        </w:rPr>
      </w:pPr>
    </w:p>
    <w:p w14:paraId="46ACE0C3" w14:textId="1A89B991" w:rsidR="00E6004A" w:rsidRPr="00511122" w:rsidRDefault="001E58B7" w:rsidP="00E6004A">
      <w:pPr>
        <w:pStyle w:val="Header"/>
        <w:widowControl w:val="0"/>
        <w:numPr>
          <w:ilvl w:val="0"/>
          <w:numId w:val="2"/>
        </w:numPr>
        <w:tabs>
          <w:tab w:val="clear" w:pos="4536"/>
          <w:tab w:val="clear" w:pos="9072"/>
        </w:tabs>
        <w:suppressAutoHyphens/>
        <w:jc w:val="both"/>
        <w:rPr>
          <w:rFonts w:ascii="Arial" w:hAnsi="Arial" w:cs="Arial"/>
          <w:b/>
          <w:bCs/>
          <w:sz w:val="22"/>
          <w:szCs w:val="22"/>
        </w:rPr>
      </w:pPr>
      <w:bookmarkStart w:id="5" w:name="_Hlk88557920"/>
      <w:r w:rsidRPr="001E58B7">
        <w:rPr>
          <w:rFonts w:ascii="Arial" w:hAnsi="Arial" w:cs="Arial"/>
          <w:b/>
          <w:bCs/>
          <w:sz w:val="22"/>
          <w:szCs w:val="22"/>
          <w:lang w:val="en-US"/>
        </w:rPr>
        <w:t>Uvođenje izvodljivih zahteva za dužnu pažnju i održivo korporativno upravljanje</w:t>
      </w:r>
      <w:bookmarkEnd w:id="5"/>
    </w:p>
    <w:p w14:paraId="7A22AD41" w14:textId="77777777" w:rsidR="00E6004A" w:rsidRPr="00511122" w:rsidRDefault="00E6004A" w:rsidP="001C5EB7">
      <w:pPr>
        <w:pStyle w:val="Header"/>
        <w:widowControl w:val="0"/>
        <w:tabs>
          <w:tab w:val="clear" w:pos="4536"/>
          <w:tab w:val="clear" w:pos="9072"/>
        </w:tabs>
        <w:suppressAutoHyphens/>
        <w:jc w:val="both"/>
        <w:rPr>
          <w:rFonts w:ascii="Arial" w:hAnsi="Arial" w:cs="Arial"/>
          <w:sz w:val="22"/>
          <w:szCs w:val="22"/>
        </w:rPr>
      </w:pPr>
    </w:p>
    <w:p w14:paraId="7CB5BEBF" w14:textId="4E04D26B" w:rsidR="001276C9" w:rsidRPr="00511122" w:rsidRDefault="00F84877" w:rsidP="001C5EB7">
      <w:pPr>
        <w:pStyle w:val="Header"/>
        <w:widowControl w:val="0"/>
        <w:tabs>
          <w:tab w:val="clear" w:pos="4536"/>
          <w:tab w:val="clear" w:pos="9072"/>
        </w:tabs>
        <w:suppressAutoHyphens/>
        <w:jc w:val="both"/>
        <w:rPr>
          <w:rFonts w:ascii="Arial" w:hAnsi="Arial" w:cs="Arial"/>
          <w:sz w:val="22"/>
          <w:szCs w:val="22"/>
        </w:rPr>
      </w:pPr>
      <w:r w:rsidRPr="00F84877">
        <w:rPr>
          <w:rFonts w:ascii="Arial" w:hAnsi="Arial" w:cs="Arial"/>
          <w:sz w:val="22"/>
          <w:szCs w:val="22"/>
          <w:lang w:val="en-US"/>
        </w:rPr>
        <w:t>Dobijanje valjanog budućeg okvira EU o dužnoj pažnji i održivom korporativnom upravljanju je od suštinskog značaja za očuvanje privlačnosti Evrope kao mesta za investiranje i promovisanje evropskih vrednosti širom sveta.</w:t>
      </w:r>
      <w:r w:rsidR="00032BEF" w:rsidRPr="00511122">
        <w:rPr>
          <w:rFonts w:ascii="Arial" w:hAnsi="Arial" w:cs="Arial"/>
          <w:sz w:val="22"/>
          <w:szCs w:val="22"/>
        </w:rPr>
        <w:t xml:space="preserve"> </w:t>
      </w:r>
    </w:p>
    <w:p w14:paraId="7E30E1EA" w14:textId="77777777" w:rsidR="001276C9" w:rsidRPr="00511122" w:rsidRDefault="001276C9" w:rsidP="001C5EB7">
      <w:pPr>
        <w:pStyle w:val="Header"/>
        <w:widowControl w:val="0"/>
        <w:tabs>
          <w:tab w:val="clear" w:pos="4536"/>
          <w:tab w:val="clear" w:pos="9072"/>
        </w:tabs>
        <w:suppressAutoHyphens/>
        <w:jc w:val="both"/>
        <w:rPr>
          <w:rFonts w:ascii="Arial" w:hAnsi="Arial" w:cs="Arial"/>
          <w:sz w:val="22"/>
          <w:szCs w:val="22"/>
        </w:rPr>
      </w:pPr>
    </w:p>
    <w:p w14:paraId="61AF236C" w14:textId="74D3B9D6" w:rsidR="001C5EB7" w:rsidRPr="00511122" w:rsidRDefault="00436EA0" w:rsidP="001C5EB7">
      <w:pPr>
        <w:pStyle w:val="Header"/>
        <w:widowControl w:val="0"/>
        <w:tabs>
          <w:tab w:val="clear" w:pos="4536"/>
          <w:tab w:val="clear" w:pos="9072"/>
        </w:tabs>
        <w:suppressAutoHyphens/>
        <w:jc w:val="both"/>
        <w:rPr>
          <w:rFonts w:ascii="Arial" w:hAnsi="Arial" w:cs="Arial"/>
          <w:sz w:val="22"/>
          <w:szCs w:val="22"/>
        </w:rPr>
      </w:pPr>
      <w:r w:rsidRPr="00436EA0">
        <w:rPr>
          <w:rFonts w:ascii="Arial" w:hAnsi="Arial" w:cs="Arial"/>
          <w:sz w:val="22"/>
          <w:szCs w:val="22"/>
          <w:lang w:val="en-US"/>
        </w:rPr>
        <w:t xml:space="preserve">Evropske kompanije su posvećene poštovanju ljudskih prava i u potpunosti razumeju važnost suočavanja sa rizicima koji se mogu pojaviti u njihovim lancima snabdevanja. Oni vide vrednost usklađenih pravila o dužnoj pažnji na jedinstvenom tržištu koja su takođe primenljiva na kompanije iz trećih zemalja koje posluju u EU. Francusko predsedavanje mora da obezbedi da ova pravila budu jasna, izvodljiva i da ne opterećuju </w:t>
      </w:r>
      <w:r w:rsidRPr="00102680">
        <w:rPr>
          <w:rFonts w:ascii="Arial" w:hAnsi="Arial" w:cs="Arial"/>
          <w:sz w:val="22"/>
          <w:szCs w:val="22"/>
          <w:lang w:val="en-US"/>
        </w:rPr>
        <w:t>MSP</w:t>
      </w:r>
      <w:r w:rsidRPr="00436EA0">
        <w:rPr>
          <w:rFonts w:ascii="Arial" w:hAnsi="Arial" w:cs="Arial"/>
          <w:sz w:val="22"/>
          <w:szCs w:val="22"/>
          <w:lang w:val="en-US"/>
        </w:rPr>
        <w:t xml:space="preserve">. Ona se moraju zasnivati na obavezi sredstava (sa sigurnom lukom za kompanije koje ispunjavaju uslove), a ne na obavezi rezultata i moraju biti ograničene na dobavljače iz prvog kruga. Javne vlasti moraju da obezbede neophodne alate podrške za pristup </w:t>
      </w:r>
      <w:r w:rsidRPr="00436EA0">
        <w:rPr>
          <w:rFonts w:ascii="Arial" w:hAnsi="Arial" w:cs="Arial"/>
          <w:sz w:val="22"/>
          <w:szCs w:val="22"/>
          <w:lang w:val="en-US"/>
        </w:rPr>
        <w:lastRenderedPageBreak/>
        <w:t>relevantnim i pouzdanim informacijama o lancima vrednosti i da pomognu kompanijama da ispune svoje obaveze.</w:t>
      </w:r>
    </w:p>
    <w:p w14:paraId="0A3F649D" w14:textId="77777777" w:rsidR="002276C7" w:rsidRPr="00511122" w:rsidRDefault="002276C7" w:rsidP="001C5EB7">
      <w:pPr>
        <w:pStyle w:val="Header"/>
        <w:widowControl w:val="0"/>
        <w:tabs>
          <w:tab w:val="clear" w:pos="4536"/>
          <w:tab w:val="clear" w:pos="9072"/>
        </w:tabs>
        <w:suppressAutoHyphens/>
        <w:jc w:val="both"/>
        <w:rPr>
          <w:rFonts w:ascii="Arial" w:hAnsi="Arial" w:cs="Arial"/>
          <w:sz w:val="22"/>
          <w:szCs w:val="22"/>
        </w:rPr>
      </w:pPr>
    </w:p>
    <w:p w14:paraId="61983EE9" w14:textId="4BBF5119" w:rsidR="00BF18DD" w:rsidRPr="00511122" w:rsidRDefault="00617A21" w:rsidP="00D3577A">
      <w:pPr>
        <w:spacing w:after="120"/>
        <w:jc w:val="both"/>
        <w:rPr>
          <w:rFonts w:ascii="Arial" w:eastAsia="Times New Roman" w:hAnsi="Arial" w:cs="Arial"/>
          <w:sz w:val="22"/>
          <w:szCs w:val="22"/>
          <w:lang w:eastAsia="en-US"/>
        </w:rPr>
      </w:pPr>
      <w:r w:rsidRPr="00617A21">
        <w:rPr>
          <w:rFonts w:ascii="Arial" w:hAnsi="Arial" w:cs="Arial"/>
          <w:sz w:val="22"/>
          <w:szCs w:val="22"/>
          <w:lang w:val="en-US"/>
        </w:rPr>
        <w:t>Predstojeća inicijativa za održivo korporativno upravljanje treba da bude dobro opravdana i ograničenog obima. Sadašnji pravni okvir ostaje u velikoj meri pogodan za podsticanje kompanija da integrišu održivost u jezgro svojih poslovnih strategija i modela, čemu su i posvećeni. Ne postoji jedinstveni pristup za balansiranje interesa kompanije sa interesima različitih zainteresovanih strana. Francusko predsedavanje mora da obezbedi da ova inicijativa ne šteti sposobnosti kompanija da efikasno posluju ili da oslabi postojeće modele korporativnog upravljanja zamagljivanjem dužnosti direktora.</w:t>
      </w:r>
    </w:p>
    <w:p w14:paraId="4139E726" w14:textId="7FDD2318" w:rsidR="00D3577A" w:rsidRPr="00511122" w:rsidRDefault="00D3577A" w:rsidP="00D3577A">
      <w:pPr>
        <w:spacing w:after="120"/>
        <w:jc w:val="both"/>
        <w:rPr>
          <w:rFonts w:ascii="Arial" w:hAnsi="Arial" w:cs="Arial"/>
          <w:sz w:val="22"/>
          <w:szCs w:val="22"/>
        </w:rPr>
      </w:pPr>
      <w:r w:rsidRPr="00511122">
        <w:rPr>
          <w:rFonts w:ascii="Arial" w:hAnsi="Arial" w:cs="Arial"/>
          <w:sz w:val="22"/>
          <w:szCs w:val="22"/>
        </w:rPr>
        <w:t xml:space="preserve"> </w:t>
      </w:r>
      <w:bookmarkStart w:id="6" w:name="_Hlk87969972"/>
    </w:p>
    <w:p w14:paraId="54B84D3A" w14:textId="58C33738" w:rsidR="001B5121" w:rsidRPr="00511122" w:rsidRDefault="00A92631" w:rsidP="001B5121">
      <w:pPr>
        <w:pStyle w:val="ListParagraph"/>
        <w:numPr>
          <w:ilvl w:val="0"/>
          <w:numId w:val="2"/>
        </w:numPr>
        <w:jc w:val="both"/>
        <w:rPr>
          <w:rFonts w:ascii="Arial" w:hAnsi="Arial" w:cs="Arial"/>
          <w:b/>
          <w:bCs/>
          <w:sz w:val="22"/>
          <w:szCs w:val="22"/>
          <w:lang w:val="en-GB"/>
        </w:rPr>
      </w:pPr>
      <w:bookmarkStart w:id="7" w:name="_Hlk86827255"/>
      <w:r w:rsidRPr="00A92631">
        <w:rPr>
          <w:rFonts w:ascii="Arial" w:hAnsi="Arial" w:cs="Arial"/>
          <w:b/>
          <w:bCs/>
          <w:sz w:val="22"/>
          <w:szCs w:val="22"/>
          <w:lang w:val="en-US"/>
        </w:rPr>
        <w:t xml:space="preserve">Održiva trgovina zasnovana na pravilima je </w:t>
      </w:r>
      <w:r>
        <w:rPr>
          <w:rFonts w:ascii="Arial" w:hAnsi="Arial" w:cs="Arial"/>
          <w:b/>
          <w:bCs/>
          <w:sz w:val="22"/>
          <w:szCs w:val="22"/>
          <w:lang w:val="en-US"/>
        </w:rPr>
        <w:t>ključna podrška</w:t>
      </w:r>
      <w:r w:rsidRPr="00A92631">
        <w:rPr>
          <w:rFonts w:ascii="Arial" w:hAnsi="Arial" w:cs="Arial"/>
          <w:b/>
          <w:bCs/>
          <w:sz w:val="22"/>
          <w:szCs w:val="22"/>
          <w:lang w:val="en-US"/>
        </w:rPr>
        <w:t xml:space="preserve"> ekonomsko</w:t>
      </w:r>
      <w:r>
        <w:rPr>
          <w:rFonts w:ascii="Arial" w:hAnsi="Arial" w:cs="Arial"/>
          <w:b/>
          <w:bCs/>
          <w:sz w:val="22"/>
          <w:szCs w:val="22"/>
          <w:lang w:val="en-US"/>
        </w:rPr>
        <w:t>m</w:t>
      </w:r>
      <w:r w:rsidRPr="00A92631">
        <w:rPr>
          <w:rFonts w:ascii="Arial" w:hAnsi="Arial" w:cs="Arial"/>
          <w:b/>
          <w:bCs/>
          <w:sz w:val="22"/>
          <w:szCs w:val="22"/>
          <w:lang w:val="en-US"/>
        </w:rPr>
        <w:t xml:space="preserve"> oporavk</w:t>
      </w:r>
      <w:r>
        <w:rPr>
          <w:rFonts w:ascii="Arial" w:hAnsi="Arial" w:cs="Arial"/>
          <w:b/>
          <w:bCs/>
          <w:sz w:val="22"/>
          <w:szCs w:val="22"/>
          <w:lang w:val="en-US"/>
        </w:rPr>
        <w:t>u</w:t>
      </w:r>
      <w:r w:rsidR="001B5121" w:rsidRPr="00511122">
        <w:rPr>
          <w:rFonts w:ascii="Arial" w:hAnsi="Arial" w:cs="Arial"/>
          <w:b/>
          <w:bCs/>
          <w:sz w:val="22"/>
          <w:szCs w:val="22"/>
          <w:lang w:val="en-GB"/>
        </w:rPr>
        <w:t xml:space="preserve"> </w:t>
      </w:r>
    </w:p>
    <w:p w14:paraId="3D779811" w14:textId="77777777" w:rsidR="001B5121" w:rsidRPr="00511122" w:rsidRDefault="001B5121" w:rsidP="004C2B66">
      <w:pPr>
        <w:jc w:val="both"/>
        <w:rPr>
          <w:rFonts w:ascii="Arial" w:hAnsi="Arial" w:cs="Arial"/>
          <w:b/>
          <w:bCs/>
        </w:rPr>
      </w:pPr>
    </w:p>
    <w:p w14:paraId="30119087" w14:textId="789302EE" w:rsidR="001B5121" w:rsidRPr="00511122" w:rsidRDefault="00B5580C" w:rsidP="004C2B66">
      <w:pPr>
        <w:jc w:val="both"/>
        <w:rPr>
          <w:rFonts w:ascii="Calibri" w:hAnsi="Calibri" w:cs="Calibri"/>
          <w:sz w:val="22"/>
          <w:szCs w:val="22"/>
          <w:lang w:eastAsia="en-US"/>
        </w:rPr>
      </w:pPr>
      <w:r w:rsidRPr="00B5580C">
        <w:rPr>
          <w:rFonts w:ascii="Arial" w:hAnsi="Arial" w:cs="Arial"/>
          <w:sz w:val="22"/>
          <w:szCs w:val="22"/>
          <w:lang w:val="en-US"/>
        </w:rPr>
        <w:t>Međunarodna trgovina je važna za podrška ekonomskom oporavku Evrope. EU treba da ostane vodeći svetski trgovinski partner, promovišući održivu trgovinu zasnovanu na pravilima, istovremeno otvarajući nove mogućnosti trgovine i ulaganja za svoje kompanije. Bilateralni trgovinski i investicioni sporazumi su ključni za promovisanje evropske konkurentnosti, standarda i pravila potrebnih da bi se obezbedili jednaki uslovi. EU treba da ostane aktivan i pouzdan partner u pregovorima, sklapanju i implementaciji trgovinskih sporazuma koji takođe postavljaju visoke standarde održivosti</w:t>
      </w:r>
      <w:r w:rsidR="001B5121" w:rsidRPr="00511122">
        <w:rPr>
          <w:rFonts w:ascii="Arial" w:hAnsi="Arial" w:cs="Arial"/>
          <w:sz w:val="22"/>
          <w:szCs w:val="22"/>
        </w:rPr>
        <w:t xml:space="preserve">. </w:t>
      </w:r>
    </w:p>
    <w:p w14:paraId="719B0203" w14:textId="77777777" w:rsidR="00BF18DD" w:rsidRPr="00511122" w:rsidRDefault="00BF18DD" w:rsidP="00BF18DD">
      <w:pPr>
        <w:pStyle w:val="Header"/>
        <w:widowControl w:val="0"/>
        <w:tabs>
          <w:tab w:val="clear" w:pos="4536"/>
          <w:tab w:val="clear" w:pos="9072"/>
        </w:tabs>
        <w:suppressAutoHyphens/>
        <w:jc w:val="both"/>
        <w:rPr>
          <w:rFonts w:ascii="Arial" w:hAnsi="Arial" w:cs="Arial"/>
          <w:b/>
          <w:bCs/>
          <w:sz w:val="22"/>
          <w:szCs w:val="22"/>
        </w:rPr>
      </w:pPr>
    </w:p>
    <w:p w14:paraId="0E24949E" w14:textId="28D0563F" w:rsidR="00BF18DD" w:rsidRDefault="00DA4545" w:rsidP="00DA4545">
      <w:pPr>
        <w:pStyle w:val="ListParagraph"/>
        <w:ind w:left="0"/>
        <w:rPr>
          <w:rFonts w:ascii="Arial" w:hAnsi="Arial" w:cs="Arial"/>
          <w:sz w:val="22"/>
          <w:szCs w:val="22"/>
          <w:lang w:val="en-US" w:eastAsia="fr-FR"/>
        </w:rPr>
      </w:pPr>
      <w:r w:rsidRPr="00DA4545">
        <w:rPr>
          <w:rFonts w:ascii="Arial" w:hAnsi="Arial" w:cs="Arial"/>
          <w:sz w:val="22"/>
          <w:szCs w:val="22"/>
          <w:lang w:val="en-US" w:eastAsia="fr-FR"/>
        </w:rPr>
        <w:t>U kontekstu rastućih tenzija, unilateralizma i protekcionizma, važnije je nego ikada da EU ostane posvećena multilateralnom međunarodnom poretku zasnovanom na pravilima. 12. STO ministarska konferencija, koja je odložena zbog pandemije COVID-a, a koja će se održati od 30. novembra do 3. decembra 2021. godine, predstavljaće vatreni test za multilateralni trgovinski sistem zasnovan na pravilima.</w:t>
      </w:r>
    </w:p>
    <w:p w14:paraId="5B896EE0" w14:textId="77777777" w:rsidR="00DA4545" w:rsidRPr="00511122" w:rsidRDefault="00DA4545" w:rsidP="00DA4545">
      <w:pPr>
        <w:pStyle w:val="ListParagraph"/>
        <w:ind w:left="0"/>
        <w:rPr>
          <w:rFonts w:eastAsiaTheme="minorHAnsi"/>
          <w:lang w:val="en-GB"/>
        </w:rPr>
      </w:pPr>
    </w:p>
    <w:p w14:paraId="23F5C9C8" w14:textId="5E08D8FC" w:rsidR="00D459FA" w:rsidRDefault="000074E2" w:rsidP="00BF18DD">
      <w:pPr>
        <w:jc w:val="both"/>
        <w:rPr>
          <w:rFonts w:ascii="Arial" w:hAnsi="Arial" w:cs="Arial"/>
          <w:sz w:val="22"/>
          <w:szCs w:val="22"/>
          <w:lang w:val="en-US"/>
        </w:rPr>
      </w:pPr>
      <w:r w:rsidRPr="000074E2">
        <w:rPr>
          <w:rFonts w:ascii="Arial" w:hAnsi="Arial" w:cs="Arial"/>
          <w:sz w:val="22"/>
          <w:szCs w:val="22"/>
          <w:lang w:val="en-US"/>
        </w:rPr>
        <w:t>STO je fundamentalna za evropsko poslovanje. To je osnova za odnose EU sa dva glavna trgovinska partnera, SAD i Kinom, kao i sa mnogim drugim važnim partnerima širom sveta. Neophodan je uspešan 12. STO ministarski sastanak da bi se ponovo izgradilo poverenje i delotvornost u sistemu. Rizik od neuspeha je visok. Da bismo uspeli, biće nam potreban pragmatizam i spremnost na kompromis svih članica STO-a. BusinessEurope želi da vidi napredak u prilagođavanju STO pravila potrebama 21. veka, na primer u oblasti digitalne ekonomije, u pogledu industrijskih subvencija i šire u oblasti održivosti i poziva na usaglašavanje plana rada za rešavanje nedostataka u sistem rešavanja sporova.</w:t>
      </w:r>
    </w:p>
    <w:p w14:paraId="147921C1" w14:textId="77777777" w:rsidR="000074E2" w:rsidRPr="00511122" w:rsidRDefault="000074E2" w:rsidP="00BF18DD">
      <w:pPr>
        <w:jc w:val="both"/>
        <w:rPr>
          <w:rFonts w:ascii="Arial" w:hAnsi="Arial" w:cs="Arial"/>
          <w:sz w:val="22"/>
          <w:szCs w:val="22"/>
        </w:rPr>
      </w:pPr>
    </w:p>
    <w:p w14:paraId="34B93BDA" w14:textId="11E1914D" w:rsidR="00D3577A" w:rsidRPr="000074E2" w:rsidRDefault="000074E2" w:rsidP="000074E2">
      <w:pPr>
        <w:jc w:val="both"/>
        <w:rPr>
          <w:rFonts w:ascii="Arial" w:hAnsi="Arial" w:cs="Arial"/>
          <w:sz w:val="22"/>
          <w:szCs w:val="22"/>
        </w:rPr>
      </w:pPr>
      <w:r w:rsidRPr="000074E2">
        <w:rPr>
          <w:rFonts w:ascii="Arial" w:hAnsi="Arial" w:cs="Arial"/>
          <w:sz w:val="22"/>
          <w:szCs w:val="22"/>
          <w:lang w:val="en-US"/>
        </w:rPr>
        <w:t>BusinessEurope pozdravlja nedavne inicijative u oblasti trgovine i spoljne ekonomske politike, kao što je instrument o stranim subvencijama i raduje se efikasnom instrumentu protiv prinude, kao i brzom usvajanju Instrumenta međunarodnih nabavki, čiji je cilj jačanje kapaciteta EU da zaštiti svoje interese i interese svojih kompanija dok istovremeno stvara nove poslovne mogućnosti kroz bilateralne i multilateralne sporazume</w:t>
      </w:r>
      <w:r w:rsidR="001B5121" w:rsidRPr="00511122">
        <w:rPr>
          <w:rFonts w:ascii="Arial" w:hAnsi="Arial" w:cs="Arial"/>
          <w:sz w:val="22"/>
          <w:szCs w:val="22"/>
        </w:rPr>
        <w:t>.</w:t>
      </w:r>
      <w:bookmarkEnd w:id="6"/>
      <w:bookmarkEnd w:id="7"/>
    </w:p>
    <w:sectPr w:rsidR="00D3577A" w:rsidRPr="000074E2" w:rsidSect="00C54D9E">
      <w:headerReference w:type="default" r:id="rId8"/>
      <w:footerReference w:type="default" r:id="rId9"/>
      <w:headerReference w:type="first" r:id="rId10"/>
      <w:footerReference w:type="first" r:id="rId11"/>
      <w:type w:val="continuous"/>
      <w:pgSz w:w="11906" w:h="16838" w:code="9"/>
      <w:pgMar w:top="2835" w:right="1701" w:bottom="1418" w:left="1701" w:header="90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4AEA" w14:textId="77777777" w:rsidR="000A409E" w:rsidRDefault="000A409E" w:rsidP="003B3CB4">
      <w:pPr>
        <w:pStyle w:val="Header"/>
      </w:pPr>
      <w:r>
        <w:separator/>
      </w:r>
    </w:p>
  </w:endnote>
  <w:endnote w:type="continuationSeparator" w:id="0">
    <w:p w14:paraId="6AC59C00" w14:textId="77777777" w:rsidR="000A409E" w:rsidRDefault="000A409E" w:rsidP="003B3CB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A311" w14:textId="4431EAFA" w:rsidR="00564E8A" w:rsidRPr="00E51BCC" w:rsidRDefault="00515900" w:rsidP="00F108E9">
    <w:pPr>
      <w:pStyle w:val="Footer"/>
      <w:tabs>
        <w:tab w:val="clear" w:pos="4536"/>
      </w:tabs>
      <w:ind w:left="-851" w:right="-852"/>
      <w:jc w:val="both"/>
      <w:rPr>
        <w:sz w:val="20"/>
      </w:rPr>
    </w:pPr>
    <w:r>
      <w:rPr>
        <w:rStyle w:val="PageNumber"/>
        <w:rFonts w:ascii="Arial" w:hAnsi="Arial" w:cs="Arial"/>
        <w:sz w:val="20"/>
      </w:rPr>
      <w:t xml:space="preserve">Deklaracija Saveta </w:t>
    </w:r>
    <w:r w:rsidR="002908BA">
      <w:rPr>
        <w:rStyle w:val="PageNumber"/>
        <w:rFonts w:ascii="Arial" w:hAnsi="Arial" w:cs="Arial"/>
        <w:sz w:val="20"/>
      </w:rPr>
      <w:t>p</w:t>
    </w:r>
    <w:r>
      <w:rPr>
        <w:rStyle w:val="PageNumber"/>
        <w:rFonts w:ascii="Arial" w:hAnsi="Arial" w:cs="Arial"/>
        <w:sz w:val="20"/>
      </w:rPr>
      <w:t>redsednika u Parizu</w:t>
    </w:r>
    <w:r w:rsidR="00722639">
      <w:rPr>
        <w:rStyle w:val="PageNumber"/>
        <w:rFonts w:ascii="Arial" w:hAnsi="Arial" w:cs="Arial"/>
        <w:sz w:val="20"/>
      </w:rPr>
      <w:tab/>
    </w:r>
    <w:r w:rsidR="00E51BCC" w:rsidRPr="00E51BCC">
      <w:rPr>
        <w:rStyle w:val="PageNumber"/>
        <w:rFonts w:ascii="Arial" w:hAnsi="Arial" w:cs="Arial"/>
        <w:sz w:val="20"/>
      </w:rPr>
      <w:fldChar w:fldCharType="begin"/>
    </w:r>
    <w:r w:rsidR="00E51BCC" w:rsidRPr="00E51BCC">
      <w:rPr>
        <w:rStyle w:val="PageNumber"/>
        <w:rFonts w:ascii="Arial" w:hAnsi="Arial" w:cs="Arial"/>
        <w:sz w:val="20"/>
      </w:rPr>
      <w:instrText xml:space="preserve"> PAGE </w:instrText>
    </w:r>
    <w:r w:rsidR="00E51BCC" w:rsidRPr="00E51BCC">
      <w:rPr>
        <w:rStyle w:val="PageNumber"/>
        <w:rFonts w:ascii="Arial" w:hAnsi="Arial" w:cs="Arial"/>
        <w:sz w:val="20"/>
      </w:rPr>
      <w:fldChar w:fldCharType="separate"/>
    </w:r>
    <w:r w:rsidR="00CD58D4">
      <w:rPr>
        <w:rStyle w:val="PageNumber"/>
        <w:rFonts w:ascii="Arial" w:hAnsi="Arial" w:cs="Arial"/>
        <w:noProof/>
        <w:sz w:val="20"/>
      </w:rPr>
      <w:t>2</w:t>
    </w:r>
    <w:r w:rsidR="00E51BCC" w:rsidRPr="00E51BC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8D3D" w14:textId="77777777" w:rsidR="00AD3CF7" w:rsidRPr="00AD174A" w:rsidRDefault="00AD3CF7" w:rsidP="00BE5F55">
    <w:pPr>
      <w:pBdr>
        <w:top w:val="single" w:sz="4" w:space="1" w:color="auto"/>
      </w:pBdr>
      <w:tabs>
        <w:tab w:val="left" w:pos="787"/>
      </w:tabs>
      <w:spacing w:line="60" w:lineRule="exact"/>
      <w:ind w:left="-851" w:right="-852"/>
      <w:rPr>
        <w:rFonts w:ascii="Arial" w:hAnsi="Arial" w:cs="Arial"/>
        <w:color w:val="000000"/>
        <w:sz w:val="12"/>
      </w:rPr>
    </w:pPr>
    <w:r w:rsidRPr="00AD174A">
      <w:rPr>
        <w:rFonts w:ascii="Arial" w:hAnsi="Arial" w:cs="Arial"/>
        <w:color w:val="000000"/>
        <w:sz w:val="12"/>
      </w:rPr>
      <w:tab/>
    </w:r>
  </w:p>
  <w:p w14:paraId="6E185D49" w14:textId="77777777" w:rsidR="00B50EEA" w:rsidRDefault="00B50EEA" w:rsidP="00B50EEA">
    <w:pPr>
      <w:tabs>
        <w:tab w:val="center" w:pos="4253"/>
        <w:tab w:val="right" w:pos="9356"/>
      </w:tabs>
      <w:spacing w:before="120" w:line="160" w:lineRule="exact"/>
      <w:ind w:left="-851" w:right="-709"/>
      <w:rPr>
        <w:rFonts w:ascii="Arial" w:hAnsi="Arial" w:cs="Arial"/>
        <w:b/>
        <w:color w:val="000000"/>
        <w:sz w:val="12"/>
        <w:lang w:val="fr-BE"/>
      </w:rPr>
    </w:pPr>
    <w:bookmarkStart w:id="8" w:name="_Hlk157310613"/>
    <w:bookmarkStart w:id="9" w:name="OLE_LINK2"/>
    <w:bookmarkStart w:id="10" w:name="OLE_LINK1"/>
    <w:r w:rsidRPr="00DC4CC2">
      <w:rPr>
        <w:rFonts w:ascii="Arial" w:hAnsi="Arial" w:cs="Arial"/>
        <w:color w:val="000000"/>
        <w:sz w:val="10"/>
        <w:szCs w:val="10"/>
        <w:lang w:val="fr-FR"/>
      </w:rPr>
      <w:t>AV. DE CORTENBERGH 168</w:t>
    </w:r>
    <w:r w:rsidRPr="00DC4CC2">
      <w:rPr>
        <w:rFonts w:ascii="Arial" w:hAnsi="Arial" w:cs="Arial"/>
        <w:sz w:val="10"/>
        <w:szCs w:val="10"/>
        <w:lang w:val="fr-FR"/>
      </w:rPr>
      <w:t xml:space="preserve">  </w:t>
    </w:r>
    <w:r w:rsidRPr="00DC4CC2">
      <w:rPr>
        <w:rFonts w:ascii="Arial" w:hAnsi="Arial" w:cs="Arial"/>
        <w:sz w:val="10"/>
        <w:szCs w:val="10"/>
        <w:lang w:val="fr-FR"/>
      </w:rPr>
      <w:tab/>
    </w:r>
    <w:r>
      <w:rPr>
        <w:rFonts w:ascii="Arial" w:hAnsi="Arial" w:cs="Arial"/>
        <w:b/>
        <w:color w:val="000000"/>
        <w:sz w:val="18"/>
        <w:szCs w:val="18"/>
        <w:lang w:val="fr-BE"/>
      </w:rPr>
      <w:t xml:space="preserve">BUSINESSEUROPE </w:t>
    </w:r>
    <w:r>
      <w:rPr>
        <w:rFonts w:ascii="Arial" w:hAnsi="Arial" w:cs="Arial"/>
        <w:color w:val="000000"/>
        <w:sz w:val="18"/>
        <w:szCs w:val="18"/>
        <w:lang w:val="fr-BE"/>
      </w:rPr>
      <w:t>a.i.s.b.l.</w:t>
    </w:r>
    <w:r>
      <w:rPr>
        <w:rFonts w:ascii="Arial" w:hAnsi="Arial" w:cs="Arial"/>
        <w:b/>
        <w:color w:val="000000"/>
        <w:sz w:val="12"/>
        <w:lang w:val="fr-BE"/>
      </w:rPr>
      <w:tab/>
    </w:r>
    <w:r w:rsidRPr="00DC4CC2">
      <w:rPr>
        <w:rFonts w:ascii="Arial" w:hAnsi="Arial" w:cs="Arial"/>
        <w:color w:val="000000"/>
        <w:sz w:val="10"/>
        <w:szCs w:val="10"/>
        <w:lang w:val="fr-FR"/>
      </w:rPr>
      <w:t>TEL +32(0)2 237 65 11</w:t>
    </w:r>
  </w:p>
  <w:p w14:paraId="37BFAABD" w14:textId="77777777" w:rsidR="00B50EEA" w:rsidRPr="00DC4CC2" w:rsidRDefault="00B50EEA" w:rsidP="00B50EEA">
    <w:pPr>
      <w:tabs>
        <w:tab w:val="left" w:pos="6513"/>
        <w:tab w:val="right" w:pos="9356"/>
      </w:tabs>
      <w:spacing w:line="160" w:lineRule="exact"/>
      <w:ind w:left="-851" w:right="-710"/>
      <w:rPr>
        <w:rFonts w:ascii="Arial" w:hAnsi="Arial" w:cs="Arial"/>
        <w:color w:val="000000"/>
        <w:sz w:val="10"/>
        <w:szCs w:val="10"/>
      </w:rPr>
    </w:pPr>
    <w:r w:rsidRPr="00DC4CC2">
      <w:rPr>
        <w:rFonts w:ascii="Arial" w:hAnsi="Arial" w:cs="Arial"/>
        <w:color w:val="000000"/>
        <w:sz w:val="10"/>
        <w:szCs w:val="10"/>
      </w:rPr>
      <w:t>BE-1000 BRUSSELS</w:t>
    </w:r>
    <w:r w:rsidRPr="00DC4CC2">
      <w:rPr>
        <w:rFonts w:ascii="Arial" w:hAnsi="Arial" w:cs="Arial"/>
        <w:color w:val="000000"/>
        <w:sz w:val="10"/>
        <w:szCs w:val="10"/>
      </w:rPr>
      <w:tab/>
    </w:r>
    <w:r w:rsidRPr="00DC4CC2">
      <w:rPr>
        <w:rFonts w:ascii="Arial" w:hAnsi="Arial" w:cs="Arial"/>
        <w:color w:val="000000"/>
        <w:sz w:val="10"/>
        <w:szCs w:val="10"/>
      </w:rPr>
      <w:tab/>
      <w:t>FAX +32(0)2 231 14 45</w:t>
    </w:r>
  </w:p>
  <w:p w14:paraId="4F05D9D2" w14:textId="77777777" w:rsidR="00B50EEA" w:rsidRPr="00DC4CC2" w:rsidRDefault="00B50EEA" w:rsidP="00B50EEA">
    <w:pPr>
      <w:tabs>
        <w:tab w:val="center" w:pos="4253"/>
        <w:tab w:val="right" w:pos="9356"/>
      </w:tabs>
      <w:spacing w:line="160" w:lineRule="exact"/>
      <w:ind w:left="-851" w:right="-710"/>
      <w:rPr>
        <w:rFonts w:ascii="Arial" w:hAnsi="Arial" w:cs="Arial"/>
        <w:color w:val="000000"/>
        <w:sz w:val="10"/>
        <w:szCs w:val="10"/>
      </w:rPr>
    </w:pPr>
    <w:r w:rsidRPr="00DC4CC2">
      <w:rPr>
        <w:rFonts w:ascii="Arial" w:hAnsi="Arial" w:cs="Arial"/>
        <w:color w:val="000000"/>
        <w:sz w:val="10"/>
        <w:szCs w:val="10"/>
      </w:rPr>
      <w:t>BELGIUM</w:t>
    </w:r>
    <w:r w:rsidRPr="00DC4CC2">
      <w:rPr>
        <w:rFonts w:ascii="Arial" w:hAnsi="Arial" w:cs="Arial"/>
        <w:color w:val="000000"/>
        <w:sz w:val="10"/>
        <w:szCs w:val="10"/>
      </w:rPr>
      <w:tab/>
    </w:r>
    <w:hyperlink r:id="rId1" w:history="1">
      <w:r w:rsidRPr="00F14CF5">
        <w:rPr>
          <w:rStyle w:val="Hyperlink"/>
          <w:rFonts w:ascii="Arial" w:hAnsi="Arial" w:cs="Arial"/>
          <w:color w:val="004785"/>
          <w:sz w:val="10"/>
          <w:szCs w:val="10"/>
          <w:u w:val="none"/>
        </w:rPr>
        <w:t>WWW.BUSINESSEUROPE.EU</w:t>
      </w:r>
    </w:hyperlink>
    <w:r w:rsidRPr="00DC4CC2">
      <w:rPr>
        <w:rFonts w:ascii="Arial" w:hAnsi="Arial" w:cs="Arial"/>
        <w:color w:val="000000"/>
        <w:sz w:val="10"/>
        <w:szCs w:val="10"/>
      </w:rPr>
      <w:tab/>
      <w:t xml:space="preserve">E-MAIL: </w:t>
    </w:r>
    <w:hyperlink r:id="rId2" w:history="1">
      <w:r w:rsidRPr="00F14CF5">
        <w:rPr>
          <w:rStyle w:val="Hyperlink"/>
          <w:rFonts w:ascii="Arial" w:hAnsi="Arial" w:cs="Arial"/>
          <w:color w:val="004785"/>
          <w:sz w:val="10"/>
          <w:szCs w:val="10"/>
          <w:u w:val="none"/>
        </w:rPr>
        <w:t>main@businesseurope.eu</w:t>
      </w:r>
    </w:hyperlink>
  </w:p>
  <w:p w14:paraId="2E8219DE" w14:textId="77777777" w:rsidR="00B50EEA" w:rsidRPr="00375DA0" w:rsidRDefault="00B50EEA" w:rsidP="00B50EEA">
    <w:pPr>
      <w:tabs>
        <w:tab w:val="center" w:pos="4253"/>
        <w:tab w:val="right" w:pos="9356"/>
      </w:tabs>
      <w:spacing w:line="160" w:lineRule="exact"/>
      <w:ind w:left="-851" w:right="-710"/>
      <w:rPr>
        <w:rFonts w:ascii="Arial" w:hAnsi="Arial" w:cs="Arial"/>
        <w:color w:val="000000"/>
        <w:sz w:val="10"/>
        <w:szCs w:val="10"/>
      </w:rPr>
    </w:pPr>
    <w:r>
      <w:rPr>
        <w:rFonts w:ascii="Arial" w:hAnsi="Arial" w:cs="Arial"/>
        <w:color w:val="000000"/>
        <w:sz w:val="10"/>
        <w:szCs w:val="10"/>
      </w:rPr>
      <w:t>VAT BE 863 418 279</w:t>
    </w:r>
    <w:bookmarkEnd w:id="8"/>
    <w:bookmarkEnd w:id="9"/>
    <w:bookmarkEnd w:id="10"/>
    <w:r>
      <w:rPr>
        <w:rFonts w:ascii="Arial" w:hAnsi="Arial" w:cs="Arial"/>
        <w:color w:val="000000"/>
        <w:sz w:val="10"/>
        <w:szCs w:val="10"/>
      </w:rPr>
      <w:tab/>
      <w:t xml:space="preserve">Follow us on </w:t>
    </w:r>
    <w:hyperlink r:id="rId3" w:history="1">
      <w:r w:rsidR="00C54D9E" w:rsidRPr="000A655B">
        <w:rPr>
          <w:rStyle w:val="Hyperlink"/>
          <w:rFonts w:ascii="Arial" w:hAnsi="Arial" w:cs="Arial"/>
          <w:color w:val="004785"/>
          <w:sz w:val="10"/>
          <w:szCs w:val="10"/>
          <w:u w:val="none"/>
        </w:rPr>
        <w:t>Twitter @BUSINESSEUROPE</w:t>
      </w:r>
    </w:hyperlink>
    <w:r>
      <w:rPr>
        <w:rFonts w:ascii="Arial" w:hAnsi="Arial" w:cs="Arial"/>
        <w:color w:val="000000"/>
        <w:sz w:val="10"/>
        <w:szCs w:val="10"/>
      </w:rPr>
      <w:tab/>
      <w:t>EU Transparency register 3978240953-79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80F5" w14:textId="77777777" w:rsidR="000A409E" w:rsidRDefault="000A409E" w:rsidP="003B3CB4">
      <w:pPr>
        <w:pStyle w:val="Header"/>
      </w:pPr>
      <w:r>
        <w:separator/>
      </w:r>
    </w:p>
  </w:footnote>
  <w:footnote w:type="continuationSeparator" w:id="0">
    <w:p w14:paraId="2336D7AE" w14:textId="77777777" w:rsidR="000A409E" w:rsidRDefault="000A409E" w:rsidP="003B3CB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6E0F" w14:textId="53D2CD7F" w:rsidR="00062D4B" w:rsidRDefault="00DC4CC2" w:rsidP="00D3228B">
    <w:pPr>
      <w:pStyle w:val="Header"/>
    </w:pPr>
    <w:r>
      <w:rPr>
        <w:noProof/>
      </w:rPr>
      <w:drawing>
        <wp:anchor distT="0" distB="0" distL="114300" distR="114300" simplePos="0" relativeHeight="251658240" behindDoc="0" locked="0" layoutInCell="1" allowOverlap="1" wp14:anchorId="71B9535A" wp14:editId="6C6AAF45">
          <wp:simplePos x="0" y="0"/>
          <wp:positionH relativeFrom="column">
            <wp:posOffset>-89535</wp:posOffset>
          </wp:positionH>
          <wp:positionV relativeFrom="paragraph">
            <wp:posOffset>-3810</wp:posOffset>
          </wp:positionV>
          <wp:extent cx="1800225" cy="4286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pic:spPr>
              </pic:pic>
            </a:graphicData>
          </a:graphic>
          <wp14:sizeRelH relativeFrom="page">
            <wp14:pctWidth>0</wp14:pctWidth>
          </wp14:sizeRelH>
          <wp14:sizeRelV relativeFrom="page">
            <wp14:pctHeight>0</wp14:pctHeight>
          </wp14:sizeRelV>
        </wp:anchor>
      </w:drawing>
    </w:r>
  </w:p>
  <w:p w14:paraId="32F8F54A" w14:textId="77777777" w:rsidR="00AE3587" w:rsidRDefault="00AE35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7E2" w14:textId="6947A79D" w:rsidR="00E60616" w:rsidRDefault="00DC4CC2" w:rsidP="00D3228B">
    <w:pPr>
      <w:pStyle w:val="Header"/>
      <w:tabs>
        <w:tab w:val="clear" w:pos="4536"/>
      </w:tabs>
      <w:jc w:val="both"/>
      <w:rPr>
        <w:rFonts w:ascii="Arial" w:hAnsi="Arial" w:cs="Arial"/>
      </w:rPr>
    </w:pPr>
    <w:r>
      <w:rPr>
        <w:noProof/>
      </w:rPr>
      <w:drawing>
        <wp:anchor distT="0" distB="0" distL="114300" distR="114300" simplePos="0" relativeHeight="251657216" behindDoc="0" locked="0" layoutInCell="1" allowOverlap="1" wp14:anchorId="6DBF9F53" wp14:editId="652C2300">
          <wp:simplePos x="0" y="0"/>
          <wp:positionH relativeFrom="column">
            <wp:posOffset>-80010</wp:posOffset>
          </wp:positionH>
          <wp:positionV relativeFrom="paragraph">
            <wp:posOffset>-3810</wp:posOffset>
          </wp:positionV>
          <wp:extent cx="2266950" cy="5429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pic:spPr>
              </pic:pic>
            </a:graphicData>
          </a:graphic>
          <wp14:sizeRelH relativeFrom="page">
            <wp14:pctWidth>0</wp14:pctWidth>
          </wp14:sizeRelH>
          <wp14:sizeRelV relativeFrom="page">
            <wp14:pctHeight>0</wp14:pctHeight>
          </wp14:sizeRelV>
        </wp:anchor>
      </w:drawing>
    </w:r>
  </w:p>
  <w:p w14:paraId="28495876" w14:textId="77777777" w:rsidR="00B614C1" w:rsidRDefault="00B614C1" w:rsidP="00E60616">
    <w:pPr>
      <w:pStyle w:val="Header"/>
      <w:tabs>
        <w:tab w:val="clear" w:pos="4536"/>
      </w:tabs>
      <w:ind w:hanging="142"/>
      <w:jc w:val="both"/>
      <w:rPr>
        <w:rFonts w:ascii="Arial" w:hAnsi="Arial" w:cs="Arial"/>
      </w:rPr>
    </w:pPr>
  </w:p>
  <w:p w14:paraId="20D35E0E" w14:textId="77777777" w:rsidR="00B614C1" w:rsidRDefault="00B614C1" w:rsidP="00E60616">
    <w:pPr>
      <w:pStyle w:val="Header"/>
      <w:tabs>
        <w:tab w:val="clear" w:pos="4536"/>
      </w:tabs>
      <w:ind w:hanging="142"/>
      <w:jc w:val="both"/>
      <w:rPr>
        <w:rFonts w:ascii="Arial" w:hAnsi="Arial" w:cs="Arial"/>
      </w:rPr>
    </w:pPr>
  </w:p>
  <w:p w14:paraId="67CBFD3D" w14:textId="70B5BBFD" w:rsidR="00E60616" w:rsidRPr="00E60616" w:rsidRDefault="002452E2" w:rsidP="00D3228B">
    <w:pPr>
      <w:pStyle w:val="Header"/>
      <w:tabs>
        <w:tab w:val="clear" w:pos="4536"/>
      </w:tabs>
      <w:ind w:left="-28"/>
      <w:jc w:val="both"/>
      <w:rPr>
        <w:rFonts w:ascii="Arial" w:hAnsi="Arial" w:cs="Arial"/>
        <w:b/>
        <w:color w:val="6C9AC3"/>
      </w:rPr>
    </w:pPr>
    <w:r>
      <w:rPr>
        <w:rFonts w:ascii="Arial" w:hAnsi="Arial" w:cs="Arial"/>
        <w:b/>
        <w:caps/>
        <w:color w:val="6C9AC3"/>
      </w:rPr>
      <w:t>SAVET PREDSEDNIKA</w:t>
    </w:r>
    <w:r w:rsidR="009B33EC" w:rsidRPr="00DC4CC2">
      <w:rPr>
        <w:rFonts w:ascii="Arial" w:hAnsi="Arial" w:cs="Arial"/>
        <w:b/>
        <w:caps/>
        <w:color w:val="6C9AC3"/>
      </w:rPr>
      <w:t xml:space="preserve"> –</w:t>
    </w:r>
    <w:r w:rsidR="00E60616" w:rsidRPr="00E60616">
      <w:rPr>
        <w:rFonts w:ascii="Arial" w:hAnsi="Arial" w:cs="Arial"/>
        <w:b/>
        <w:color w:val="6C9AC3"/>
      </w:rPr>
      <w:t xml:space="preserve"> </w:t>
    </w:r>
    <w:r>
      <w:rPr>
        <w:rFonts w:ascii="Arial" w:hAnsi="Arial" w:cs="Arial"/>
        <w:b/>
        <w:color w:val="6C9AC3"/>
      </w:rPr>
      <w:t xml:space="preserve">Sastanak </w:t>
    </w:r>
    <w:r w:rsidR="00DC4CC2">
      <w:rPr>
        <w:rFonts w:ascii="Arial" w:hAnsi="Arial" w:cs="Arial"/>
        <w:b/>
        <w:color w:val="6C9AC3"/>
      </w:rPr>
      <w:t>26</w:t>
    </w:r>
    <w:r>
      <w:rPr>
        <w:rFonts w:ascii="Arial" w:hAnsi="Arial" w:cs="Arial"/>
        <w:b/>
        <w:color w:val="6C9AC3"/>
      </w:rPr>
      <w:t>.</w:t>
    </w:r>
    <w:r w:rsidR="00DC4CC2">
      <w:rPr>
        <w:rFonts w:ascii="Arial" w:hAnsi="Arial" w:cs="Arial"/>
        <w:b/>
        <w:color w:val="6C9AC3"/>
      </w:rPr>
      <w:t>11</w:t>
    </w:r>
    <w:r>
      <w:rPr>
        <w:rFonts w:ascii="Arial" w:hAnsi="Arial" w:cs="Arial"/>
        <w:b/>
        <w:color w:val="6C9AC3"/>
      </w:rPr>
      <w:t>.</w:t>
    </w:r>
    <w:r w:rsidR="00DC4CC2">
      <w:rPr>
        <w:rFonts w:ascii="Arial" w:hAnsi="Arial" w:cs="Arial"/>
        <w:b/>
        <w:color w:val="6C9AC3"/>
      </w:rPr>
      <w:t>2021</w:t>
    </w:r>
    <w:r>
      <w:rPr>
        <w:rFonts w:ascii="Arial" w:hAnsi="Arial" w:cs="Arial"/>
        <w:b/>
        <w:color w:val="6C9AC3"/>
      </w:rPr>
      <w:t>.</w:t>
    </w:r>
  </w:p>
  <w:p w14:paraId="17BEED8F" w14:textId="77777777" w:rsidR="00E60616" w:rsidRDefault="00E6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00C61"/>
    <w:multiLevelType w:val="hybridMultilevel"/>
    <w:tmpl w:val="EBF49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367A6"/>
    <w:multiLevelType w:val="hybridMultilevel"/>
    <w:tmpl w:val="EBF49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A247225"/>
    <w:multiLevelType w:val="hybridMultilevel"/>
    <w:tmpl w:val="947A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C2"/>
    <w:rsid w:val="000074B0"/>
    <w:rsid w:val="000074E2"/>
    <w:rsid w:val="00012E4D"/>
    <w:rsid w:val="00013B0D"/>
    <w:rsid w:val="00032BEF"/>
    <w:rsid w:val="00034076"/>
    <w:rsid w:val="00037B62"/>
    <w:rsid w:val="000413AA"/>
    <w:rsid w:val="0004460B"/>
    <w:rsid w:val="0004491C"/>
    <w:rsid w:val="00062D4B"/>
    <w:rsid w:val="000647DA"/>
    <w:rsid w:val="00064A73"/>
    <w:rsid w:val="00065FCE"/>
    <w:rsid w:val="00093C10"/>
    <w:rsid w:val="000949F8"/>
    <w:rsid w:val="000A409E"/>
    <w:rsid w:val="000B2539"/>
    <w:rsid w:val="000B2891"/>
    <w:rsid w:val="000B3C01"/>
    <w:rsid w:val="000C3798"/>
    <w:rsid w:val="000D4B84"/>
    <w:rsid w:val="000D6BCF"/>
    <w:rsid w:val="000E50ED"/>
    <w:rsid w:val="000F4820"/>
    <w:rsid w:val="00102680"/>
    <w:rsid w:val="00106882"/>
    <w:rsid w:val="001173C8"/>
    <w:rsid w:val="00117AD3"/>
    <w:rsid w:val="001276C9"/>
    <w:rsid w:val="0013348E"/>
    <w:rsid w:val="00133BCE"/>
    <w:rsid w:val="00152135"/>
    <w:rsid w:val="001551C5"/>
    <w:rsid w:val="00161C2F"/>
    <w:rsid w:val="00163686"/>
    <w:rsid w:val="00165436"/>
    <w:rsid w:val="00166337"/>
    <w:rsid w:val="001712FF"/>
    <w:rsid w:val="0017279B"/>
    <w:rsid w:val="001736E6"/>
    <w:rsid w:val="00181E5B"/>
    <w:rsid w:val="00185449"/>
    <w:rsid w:val="001865C2"/>
    <w:rsid w:val="00186C33"/>
    <w:rsid w:val="001A44C5"/>
    <w:rsid w:val="001B5121"/>
    <w:rsid w:val="001C5036"/>
    <w:rsid w:val="001C5EB7"/>
    <w:rsid w:val="001E34BA"/>
    <w:rsid w:val="001E3E0F"/>
    <w:rsid w:val="001E58B7"/>
    <w:rsid w:val="001E7AAB"/>
    <w:rsid w:val="00205117"/>
    <w:rsid w:val="002063FE"/>
    <w:rsid w:val="002078EB"/>
    <w:rsid w:val="002178CE"/>
    <w:rsid w:val="002276C7"/>
    <w:rsid w:val="0023490F"/>
    <w:rsid w:val="002452E2"/>
    <w:rsid w:val="00281D87"/>
    <w:rsid w:val="002908BA"/>
    <w:rsid w:val="002A0452"/>
    <w:rsid w:val="002B2535"/>
    <w:rsid w:val="002E518B"/>
    <w:rsid w:val="002F0CBB"/>
    <w:rsid w:val="003112F7"/>
    <w:rsid w:val="00316A9A"/>
    <w:rsid w:val="00321DCD"/>
    <w:rsid w:val="00324B8B"/>
    <w:rsid w:val="00335AD2"/>
    <w:rsid w:val="00362364"/>
    <w:rsid w:val="00366814"/>
    <w:rsid w:val="00386C40"/>
    <w:rsid w:val="003A0F03"/>
    <w:rsid w:val="003B3CB4"/>
    <w:rsid w:val="003B6747"/>
    <w:rsid w:val="003C7BDD"/>
    <w:rsid w:val="003E20D5"/>
    <w:rsid w:val="003E2BE0"/>
    <w:rsid w:val="003E3AD4"/>
    <w:rsid w:val="003E5CC7"/>
    <w:rsid w:val="003F0442"/>
    <w:rsid w:val="003F3C39"/>
    <w:rsid w:val="003F47B1"/>
    <w:rsid w:val="003F76B9"/>
    <w:rsid w:val="003F7AD0"/>
    <w:rsid w:val="0040286A"/>
    <w:rsid w:val="00413146"/>
    <w:rsid w:val="004209AC"/>
    <w:rsid w:val="0042385D"/>
    <w:rsid w:val="00427542"/>
    <w:rsid w:val="004312FE"/>
    <w:rsid w:val="00431FB1"/>
    <w:rsid w:val="0043287C"/>
    <w:rsid w:val="00432D3D"/>
    <w:rsid w:val="00436EA0"/>
    <w:rsid w:val="0044164B"/>
    <w:rsid w:val="004520B0"/>
    <w:rsid w:val="004609BD"/>
    <w:rsid w:val="004716CF"/>
    <w:rsid w:val="0047239A"/>
    <w:rsid w:val="00472E68"/>
    <w:rsid w:val="0047404F"/>
    <w:rsid w:val="004A1C91"/>
    <w:rsid w:val="004A6A08"/>
    <w:rsid w:val="004C2B66"/>
    <w:rsid w:val="004D0612"/>
    <w:rsid w:val="004D14FC"/>
    <w:rsid w:val="004D78A9"/>
    <w:rsid w:val="004F1F1A"/>
    <w:rsid w:val="004F43EB"/>
    <w:rsid w:val="0050556A"/>
    <w:rsid w:val="00511122"/>
    <w:rsid w:val="0051182B"/>
    <w:rsid w:val="00515900"/>
    <w:rsid w:val="005170CB"/>
    <w:rsid w:val="005238E9"/>
    <w:rsid w:val="00534AB8"/>
    <w:rsid w:val="00536D61"/>
    <w:rsid w:val="00536FA9"/>
    <w:rsid w:val="00543AD9"/>
    <w:rsid w:val="005626FC"/>
    <w:rsid w:val="00564E8A"/>
    <w:rsid w:val="0057500A"/>
    <w:rsid w:val="0058267E"/>
    <w:rsid w:val="005868DC"/>
    <w:rsid w:val="005A2FBA"/>
    <w:rsid w:val="005A69F1"/>
    <w:rsid w:val="005A7C19"/>
    <w:rsid w:val="005D30A5"/>
    <w:rsid w:val="005E23A3"/>
    <w:rsid w:val="005E4026"/>
    <w:rsid w:val="0060614E"/>
    <w:rsid w:val="0061719D"/>
    <w:rsid w:val="00617710"/>
    <w:rsid w:val="00617A21"/>
    <w:rsid w:val="0062548F"/>
    <w:rsid w:val="00632A00"/>
    <w:rsid w:val="00634A34"/>
    <w:rsid w:val="00646694"/>
    <w:rsid w:val="00656A4C"/>
    <w:rsid w:val="00664346"/>
    <w:rsid w:val="00675F22"/>
    <w:rsid w:val="006764D3"/>
    <w:rsid w:val="0068060B"/>
    <w:rsid w:val="0068522C"/>
    <w:rsid w:val="006917BF"/>
    <w:rsid w:val="006974A9"/>
    <w:rsid w:val="006A0A24"/>
    <w:rsid w:val="006A6CB2"/>
    <w:rsid w:val="006B5284"/>
    <w:rsid w:val="006B7DDE"/>
    <w:rsid w:val="006C4677"/>
    <w:rsid w:val="006D3E78"/>
    <w:rsid w:val="006D5ED6"/>
    <w:rsid w:val="006E17F1"/>
    <w:rsid w:val="006F6E18"/>
    <w:rsid w:val="00704FE3"/>
    <w:rsid w:val="0070619F"/>
    <w:rsid w:val="0070751A"/>
    <w:rsid w:val="00712A1B"/>
    <w:rsid w:val="00722639"/>
    <w:rsid w:val="00733316"/>
    <w:rsid w:val="00736545"/>
    <w:rsid w:val="00737FF6"/>
    <w:rsid w:val="00753E47"/>
    <w:rsid w:val="007547D8"/>
    <w:rsid w:val="007639E7"/>
    <w:rsid w:val="007940AF"/>
    <w:rsid w:val="00794B06"/>
    <w:rsid w:val="007A1AE1"/>
    <w:rsid w:val="007A219B"/>
    <w:rsid w:val="007B064E"/>
    <w:rsid w:val="007C1FAD"/>
    <w:rsid w:val="007D202B"/>
    <w:rsid w:val="007D6505"/>
    <w:rsid w:val="007E03A4"/>
    <w:rsid w:val="007F1F2E"/>
    <w:rsid w:val="00803798"/>
    <w:rsid w:val="00820138"/>
    <w:rsid w:val="00824095"/>
    <w:rsid w:val="008310D6"/>
    <w:rsid w:val="00833F8D"/>
    <w:rsid w:val="00837B7B"/>
    <w:rsid w:val="00841A29"/>
    <w:rsid w:val="008439A9"/>
    <w:rsid w:val="00850A66"/>
    <w:rsid w:val="0085561B"/>
    <w:rsid w:val="00857E4D"/>
    <w:rsid w:val="00877BB5"/>
    <w:rsid w:val="008869A9"/>
    <w:rsid w:val="00896C4A"/>
    <w:rsid w:val="008A2C71"/>
    <w:rsid w:val="008B4862"/>
    <w:rsid w:val="008C4C63"/>
    <w:rsid w:val="008D0F71"/>
    <w:rsid w:val="008D5021"/>
    <w:rsid w:val="008D5979"/>
    <w:rsid w:val="008E63AB"/>
    <w:rsid w:val="008E63DB"/>
    <w:rsid w:val="008E6BD5"/>
    <w:rsid w:val="008F6CCB"/>
    <w:rsid w:val="0091626D"/>
    <w:rsid w:val="0091755C"/>
    <w:rsid w:val="00920C96"/>
    <w:rsid w:val="009227B1"/>
    <w:rsid w:val="00932865"/>
    <w:rsid w:val="0093449C"/>
    <w:rsid w:val="0094067C"/>
    <w:rsid w:val="00943176"/>
    <w:rsid w:val="00944779"/>
    <w:rsid w:val="009642A4"/>
    <w:rsid w:val="009705B1"/>
    <w:rsid w:val="00972A69"/>
    <w:rsid w:val="009902E3"/>
    <w:rsid w:val="009903D4"/>
    <w:rsid w:val="009916A2"/>
    <w:rsid w:val="00994A18"/>
    <w:rsid w:val="00996FC8"/>
    <w:rsid w:val="009A036F"/>
    <w:rsid w:val="009A0A2D"/>
    <w:rsid w:val="009A1A35"/>
    <w:rsid w:val="009A340F"/>
    <w:rsid w:val="009B2D48"/>
    <w:rsid w:val="009B33EC"/>
    <w:rsid w:val="009B7407"/>
    <w:rsid w:val="009B7F8C"/>
    <w:rsid w:val="009C3413"/>
    <w:rsid w:val="009E5874"/>
    <w:rsid w:val="009F3673"/>
    <w:rsid w:val="00A007C4"/>
    <w:rsid w:val="00A02B57"/>
    <w:rsid w:val="00A119B2"/>
    <w:rsid w:val="00A14073"/>
    <w:rsid w:val="00A269F0"/>
    <w:rsid w:val="00A27779"/>
    <w:rsid w:val="00A37E1A"/>
    <w:rsid w:val="00A409E4"/>
    <w:rsid w:val="00A443FA"/>
    <w:rsid w:val="00A47E23"/>
    <w:rsid w:val="00A50567"/>
    <w:rsid w:val="00A576DF"/>
    <w:rsid w:val="00A70F5C"/>
    <w:rsid w:val="00A723D6"/>
    <w:rsid w:val="00A80FA5"/>
    <w:rsid w:val="00A90D1C"/>
    <w:rsid w:val="00A92631"/>
    <w:rsid w:val="00AA41AA"/>
    <w:rsid w:val="00AB773A"/>
    <w:rsid w:val="00AC275D"/>
    <w:rsid w:val="00AC4114"/>
    <w:rsid w:val="00AC4E70"/>
    <w:rsid w:val="00AD3260"/>
    <w:rsid w:val="00AD3CF7"/>
    <w:rsid w:val="00AD5971"/>
    <w:rsid w:val="00AD6844"/>
    <w:rsid w:val="00AE3587"/>
    <w:rsid w:val="00AF2900"/>
    <w:rsid w:val="00B002C8"/>
    <w:rsid w:val="00B116FE"/>
    <w:rsid w:val="00B2183B"/>
    <w:rsid w:val="00B23276"/>
    <w:rsid w:val="00B32FC7"/>
    <w:rsid w:val="00B462EA"/>
    <w:rsid w:val="00B50EEA"/>
    <w:rsid w:val="00B5580C"/>
    <w:rsid w:val="00B60D62"/>
    <w:rsid w:val="00B614C1"/>
    <w:rsid w:val="00B65610"/>
    <w:rsid w:val="00B803A0"/>
    <w:rsid w:val="00B87637"/>
    <w:rsid w:val="00B917D6"/>
    <w:rsid w:val="00BB2930"/>
    <w:rsid w:val="00BC3A44"/>
    <w:rsid w:val="00BE5F55"/>
    <w:rsid w:val="00BF10B9"/>
    <w:rsid w:val="00BF18DD"/>
    <w:rsid w:val="00C04AA6"/>
    <w:rsid w:val="00C10D53"/>
    <w:rsid w:val="00C16711"/>
    <w:rsid w:val="00C17288"/>
    <w:rsid w:val="00C33939"/>
    <w:rsid w:val="00C33CB7"/>
    <w:rsid w:val="00C376C4"/>
    <w:rsid w:val="00C43472"/>
    <w:rsid w:val="00C4459D"/>
    <w:rsid w:val="00C44F2E"/>
    <w:rsid w:val="00C466A3"/>
    <w:rsid w:val="00C46AD2"/>
    <w:rsid w:val="00C54D9E"/>
    <w:rsid w:val="00C60A1F"/>
    <w:rsid w:val="00C626AC"/>
    <w:rsid w:val="00C6386F"/>
    <w:rsid w:val="00C656E3"/>
    <w:rsid w:val="00C742CA"/>
    <w:rsid w:val="00C81ECE"/>
    <w:rsid w:val="00C845FF"/>
    <w:rsid w:val="00C8719E"/>
    <w:rsid w:val="00C90E6F"/>
    <w:rsid w:val="00C938C0"/>
    <w:rsid w:val="00CA13DF"/>
    <w:rsid w:val="00CA37E0"/>
    <w:rsid w:val="00CA5392"/>
    <w:rsid w:val="00CB38C1"/>
    <w:rsid w:val="00CB4A66"/>
    <w:rsid w:val="00CC1800"/>
    <w:rsid w:val="00CC2F5B"/>
    <w:rsid w:val="00CD4D74"/>
    <w:rsid w:val="00CD58D4"/>
    <w:rsid w:val="00CD6880"/>
    <w:rsid w:val="00CD7480"/>
    <w:rsid w:val="00CF0E7D"/>
    <w:rsid w:val="00CF3A35"/>
    <w:rsid w:val="00CF627F"/>
    <w:rsid w:val="00CF7AD5"/>
    <w:rsid w:val="00D06FB9"/>
    <w:rsid w:val="00D16DE8"/>
    <w:rsid w:val="00D26D54"/>
    <w:rsid w:val="00D3228B"/>
    <w:rsid w:val="00D3577A"/>
    <w:rsid w:val="00D459FA"/>
    <w:rsid w:val="00D52CAF"/>
    <w:rsid w:val="00D63774"/>
    <w:rsid w:val="00D66371"/>
    <w:rsid w:val="00D771AF"/>
    <w:rsid w:val="00D83154"/>
    <w:rsid w:val="00D93872"/>
    <w:rsid w:val="00D93E3C"/>
    <w:rsid w:val="00DA4545"/>
    <w:rsid w:val="00DA5EE6"/>
    <w:rsid w:val="00DB216A"/>
    <w:rsid w:val="00DB3594"/>
    <w:rsid w:val="00DC4CC2"/>
    <w:rsid w:val="00DE7E7D"/>
    <w:rsid w:val="00E01853"/>
    <w:rsid w:val="00E018BD"/>
    <w:rsid w:val="00E07A02"/>
    <w:rsid w:val="00E33E10"/>
    <w:rsid w:val="00E51BCC"/>
    <w:rsid w:val="00E6004A"/>
    <w:rsid w:val="00E60616"/>
    <w:rsid w:val="00E850B9"/>
    <w:rsid w:val="00E904AA"/>
    <w:rsid w:val="00EA1CAD"/>
    <w:rsid w:val="00EA4813"/>
    <w:rsid w:val="00EB5C6D"/>
    <w:rsid w:val="00EC727B"/>
    <w:rsid w:val="00ED1B02"/>
    <w:rsid w:val="00EE0AE9"/>
    <w:rsid w:val="00EE17A9"/>
    <w:rsid w:val="00EE27B8"/>
    <w:rsid w:val="00EE2A71"/>
    <w:rsid w:val="00F108E9"/>
    <w:rsid w:val="00F26DA3"/>
    <w:rsid w:val="00F302D5"/>
    <w:rsid w:val="00F31395"/>
    <w:rsid w:val="00F31869"/>
    <w:rsid w:val="00F33A48"/>
    <w:rsid w:val="00F448C3"/>
    <w:rsid w:val="00F47092"/>
    <w:rsid w:val="00F5087A"/>
    <w:rsid w:val="00F5250E"/>
    <w:rsid w:val="00F52D44"/>
    <w:rsid w:val="00F56303"/>
    <w:rsid w:val="00F67379"/>
    <w:rsid w:val="00F84877"/>
    <w:rsid w:val="00FB53A0"/>
    <w:rsid w:val="00FC0E9B"/>
    <w:rsid w:val="00FD0E15"/>
    <w:rsid w:val="00FD4F84"/>
    <w:rsid w:val="00FE3202"/>
    <w:rsid w:val="00FF3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58EF1"/>
  <w15:docId w15:val="{4B6C19F2-CFEE-4E1E-A009-22A20168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6917BF"/>
  </w:style>
  <w:style w:type="paragraph" w:styleId="BalloonText">
    <w:name w:val="Balloon Text"/>
    <w:basedOn w:val="Normal"/>
    <w:semiHidden/>
    <w:rsid w:val="007B064E"/>
    <w:rPr>
      <w:rFonts w:ascii="Tahoma" w:hAnsi="Tahoma" w:cs="Tahoma"/>
      <w:sz w:val="16"/>
      <w:szCs w:val="16"/>
    </w:rPr>
  </w:style>
  <w:style w:type="table" w:styleId="TableGrid">
    <w:name w:val="Table Grid"/>
    <w:basedOn w:val="TableNormal"/>
    <w:rsid w:val="00EE2A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C5EB7"/>
    <w:rPr>
      <w:sz w:val="24"/>
      <w:lang w:val="en-GB" w:eastAsia="fr-FR"/>
    </w:rPr>
  </w:style>
  <w:style w:type="character" w:customStyle="1" w:styleId="ListParagraphChar">
    <w:name w:val="List Paragraph Char"/>
    <w:aliases w:val="Bulleted paragraph Char,Fiche List Paragraph Char,Task Body Char,Viñetas (Inicio Parrafo) Char,3 Txt tabla Char,Zerrenda-paragrafoa Char,Lista multicolor - Énfasis 11 Char,Paragrafo elenco Char,1st level - Bullet List Paragraph Char"/>
    <w:basedOn w:val="DefaultParagraphFont"/>
    <w:link w:val="ListParagraph"/>
    <w:uiPriority w:val="34"/>
    <w:locked/>
    <w:rsid w:val="00BF18DD"/>
    <w:rPr>
      <w:rFonts w:ascii="Calibri" w:hAnsi="Calibri" w:cs="Calibri"/>
      <w:lang w:eastAsia="en-US"/>
    </w:rPr>
  </w:style>
  <w:style w:type="paragraph" w:styleId="ListParagraph">
    <w:name w:val="List Paragraph"/>
    <w:aliases w:val="Bulleted paragraph,Fiche List Paragraph,Task Body,Viñetas (Inicio Parrafo),3 Txt tabla,Zerrenda-paragrafoa,Lista multicolor - Énfasis 11,Paragrafo elenco,1st level - Bullet List Paragraph,Lettre d'introduction,Normal bullet 2"/>
    <w:basedOn w:val="Normal"/>
    <w:link w:val="ListParagraphChar"/>
    <w:uiPriority w:val="34"/>
    <w:qFormat/>
    <w:rsid w:val="00BF18DD"/>
    <w:pPr>
      <w:ind w:left="720"/>
    </w:pPr>
    <w:rPr>
      <w:rFonts w:ascii="Calibri" w:hAnsi="Calibri" w:cs="Calibri"/>
      <w:sz w:val="20"/>
      <w:lang w:val="fr-BE" w:eastAsia="en-US"/>
    </w:rPr>
  </w:style>
  <w:style w:type="character" w:styleId="CommentReference">
    <w:name w:val="annotation reference"/>
    <w:basedOn w:val="DefaultParagraphFont"/>
    <w:semiHidden/>
    <w:unhideWhenUsed/>
    <w:rsid w:val="002E518B"/>
    <w:rPr>
      <w:sz w:val="16"/>
      <w:szCs w:val="16"/>
    </w:rPr>
  </w:style>
  <w:style w:type="paragraph" w:styleId="CommentText">
    <w:name w:val="annotation text"/>
    <w:basedOn w:val="Normal"/>
    <w:link w:val="CommentTextChar"/>
    <w:unhideWhenUsed/>
    <w:rsid w:val="002E518B"/>
    <w:rPr>
      <w:sz w:val="20"/>
    </w:rPr>
  </w:style>
  <w:style w:type="character" w:customStyle="1" w:styleId="CommentTextChar">
    <w:name w:val="Comment Text Char"/>
    <w:basedOn w:val="DefaultParagraphFont"/>
    <w:link w:val="CommentText"/>
    <w:rsid w:val="002E518B"/>
    <w:rPr>
      <w:lang w:val="en-GB" w:eastAsia="fr-FR"/>
    </w:rPr>
  </w:style>
  <w:style w:type="paragraph" w:styleId="CommentSubject">
    <w:name w:val="annotation subject"/>
    <w:basedOn w:val="CommentText"/>
    <w:next w:val="CommentText"/>
    <w:link w:val="CommentSubjectChar"/>
    <w:semiHidden/>
    <w:unhideWhenUsed/>
    <w:rsid w:val="002E518B"/>
    <w:rPr>
      <w:b/>
      <w:bCs/>
    </w:rPr>
  </w:style>
  <w:style w:type="character" w:customStyle="1" w:styleId="CommentSubjectChar">
    <w:name w:val="Comment Subject Char"/>
    <w:basedOn w:val="CommentTextChar"/>
    <w:link w:val="CommentSubject"/>
    <w:semiHidden/>
    <w:rsid w:val="002E518B"/>
    <w:rPr>
      <w:b/>
      <w:bCs/>
      <w:lang w:val="en-GB" w:eastAsia="fr-FR"/>
    </w:rPr>
  </w:style>
  <w:style w:type="paragraph" w:styleId="Revision">
    <w:name w:val="Revision"/>
    <w:hidden/>
    <w:uiPriority w:val="99"/>
    <w:semiHidden/>
    <w:rsid w:val="000B3C01"/>
    <w:rPr>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651">
      <w:bodyDiv w:val="1"/>
      <w:marLeft w:val="0"/>
      <w:marRight w:val="0"/>
      <w:marTop w:val="0"/>
      <w:marBottom w:val="0"/>
      <w:divBdr>
        <w:top w:val="none" w:sz="0" w:space="0" w:color="auto"/>
        <w:left w:val="none" w:sz="0" w:space="0" w:color="auto"/>
        <w:bottom w:val="none" w:sz="0" w:space="0" w:color="auto"/>
        <w:right w:val="none" w:sz="0" w:space="0" w:color="auto"/>
      </w:divBdr>
    </w:div>
    <w:div w:id="526871525">
      <w:bodyDiv w:val="1"/>
      <w:marLeft w:val="0"/>
      <w:marRight w:val="0"/>
      <w:marTop w:val="0"/>
      <w:marBottom w:val="0"/>
      <w:divBdr>
        <w:top w:val="none" w:sz="0" w:space="0" w:color="auto"/>
        <w:left w:val="none" w:sz="0" w:space="0" w:color="auto"/>
        <w:bottom w:val="none" w:sz="0" w:space="0" w:color="auto"/>
        <w:right w:val="none" w:sz="0" w:space="0" w:color="auto"/>
      </w:divBdr>
    </w:div>
    <w:div w:id="9996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businesseurope" TargetMode="External"/><Relationship Id="rId2" Type="http://schemas.openxmlformats.org/officeDocument/2006/relationships/hyperlink" Target="mailto:main@businesseurope.eu" TargetMode="External"/><Relationship Id="rId1" Type="http://schemas.openxmlformats.org/officeDocument/2006/relationships/hyperlink" Target="http://WWW.BUSINESS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B19F-2900-4ACB-9095-4749B9B4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9982</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EXBU NOTES</vt:lpstr>
      <vt:lpstr>EXBU NOTES</vt:lpstr>
    </vt:vector>
  </TitlesOfParts>
  <Company>BUSINESSEUROPE</Company>
  <LinksUpToDate>false</LinksUpToDate>
  <CharactersWithSpaces>11710</CharactersWithSpaces>
  <SharedDoc>false</SharedDoc>
  <HLinks>
    <vt:vector size="6" baseType="variant">
      <vt:variant>
        <vt:i4>1769536</vt:i4>
      </vt:variant>
      <vt:variant>
        <vt:i4>3</vt:i4>
      </vt:variant>
      <vt:variant>
        <vt:i4>0</vt:i4>
      </vt:variant>
      <vt:variant>
        <vt:i4>5</vt:i4>
      </vt:variant>
      <vt:variant>
        <vt:lpwstr>http://www.businesseurope.eu/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EXBU NOTES</dc:title>
  <dc:subject/>
  <dc:creator>Administrator</dc:creator>
  <cp:keywords/>
  <cp:lastModifiedBy>Jelena</cp:lastModifiedBy>
  <cp:revision>2</cp:revision>
  <cp:lastPrinted>2021-11-16T18:07:00Z</cp:lastPrinted>
  <dcterms:created xsi:type="dcterms:W3CDTF">2021-11-26T13:52:00Z</dcterms:created>
  <dcterms:modified xsi:type="dcterms:W3CDTF">2021-11-26T13:52:00Z</dcterms:modified>
</cp:coreProperties>
</file>